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High-Level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HQ</w:t>
      </w:r>
      <w:r>
        <w:t xml:space="preserve"> </w:t>
      </w:r>
      <w:r>
        <w:t xml:space="preserve">HPE</w:t>
      </w:r>
      <w:r>
        <w:t xml:space="preserve"> </w:t>
      </w:r>
      <w:r>
        <w:t xml:space="preserve">Storage</w:t>
      </w:r>
      <w:r>
        <w:t xml:space="preserve"> </w:t>
      </w:r>
      <w:r>
        <w:t xml:space="preserve">&amp;</w:t>
      </w:r>
      <w:r>
        <w:t xml:space="preserve"> </w:t>
      </w:r>
      <w:r>
        <w:t xml:space="preserve">Cisco</w:t>
      </w:r>
      <w:r>
        <w:t xml:space="preserve"> </w:t>
      </w:r>
      <w:r>
        <w:t xml:space="preserve">UCS</w:t>
      </w:r>
      <w:r>
        <w:t xml:space="preserve"> </w:t>
      </w:r>
      <w:r>
        <w:t xml:space="preserve">SIPR</w:t>
      </w:r>
      <w:r>
        <w:t xml:space="preserve"> </w:t>
      </w:r>
      <w:r>
        <w:t xml:space="preserve">VDI</w:t>
      </w:r>
      <w:r>
        <w:t xml:space="preserve"> </w:t>
      </w:r>
      <w:r>
        <w:t xml:space="preserve">6</w:t>
      </w:r>
      <w:r>
        <w:t xml:space="preserve"> </w:t>
      </w:r>
      <w:r>
        <w:t xml:space="preserve">Sites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HAWAII PACAF HICKAM engaged WWT to design a modernized VDI platform leveraging</w:t>
      </w:r>
      <w:r>
        <w:t xml:space="preserve"> </w:t>
      </w:r>
      <w:r>
        <w:rPr>
          <w:bCs/>
          <w:b/>
        </w:rPr>
        <w:t xml:space="preserve">Omnissa Horizon</w:t>
      </w:r>
      <w:r>
        <w:t xml:space="preserve">. This</w:t>
      </w:r>
      <w:r>
        <w:t xml:space="preserve"> </w:t>
      </w:r>
      <w:r>
        <w:rPr>
          <w:bCs/>
          <w:b/>
        </w:rPr>
        <w:t xml:space="preserve">HLD</w:t>
      </w:r>
      <w:r>
        <w:t xml:space="preserve"> </w:t>
      </w:r>
      <w:r>
        <w:t xml:space="preserve">recommends conceptual, logical, and physical architecture for</w:t>
      </w:r>
      <w:r>
        <w:t xml:space="preserve"> </w:t>
      </w:r>
      <w:r>
        <w:rPr>
          <w:bCs/>
          <w:b/>
        </w:rPr>
        <w:t xml:space="preserve">Hawaii PACAF HQ HPE Storage &amp; Cisco UCS SIPR VDI 6 Sites 2025</w:t>
      </w:r>
      <w:r>
        <w:t xml:space="preserve">, including POC‑to‑production guidance. The approach aligns to WWT practices and supports hybrid expansion when appropriate.</w:t>
      </w:r>
    </w:p>
    <w:bookmarkEnd w:id="20"/>
    <w:bookmarkStart w:id="21" w:name="solution-overview"/>
    <w:p>
      <w:pPr>
        <w:pStyle w:val="Heading1"/>
      </w:pPr>
      <w:r>
        <w:t xml:space="preserve">Solution Overview</w:t>
      </w:r>
    </w:p>
    <w:p>
      <w:pPr>
        <w:pStyle w:val="FirstParagraph"/>
      </w:pPr>
      <w:r>
        <w:t xml:space="preserve">The solution centers on one or more Horizon</w:t>
      </w:r>
      <w:r>
        <w:t xml:space="preserve"> </w:t>
      </w:r>
      <w:r>
        <w:rPr>
          <w:bCs/>
          <w:b/>
        </w:rPr>
        <w:t xml:space="preserve">pods</w:t>
      </w:r>
      <w:r>
        <w:t xml:space="preserve"> </w:t>
      </w:r>
      <w:r>
        <w:t xml:space="preserve">across 6 sites - Air Force Osan AB, Korea Eielson, Fairbanks Alaska JBER, Anchorage Alaska Misawa AB, Japan Kunsan AB, Korea Kadena AB, Okinawa Japan, integrating with identity (UNKNOWN. DoD), profile management (DEM/FSLogix), and application delivery (App Volumes / Apps on Demand). External access is provided through</w:t>
      </w:r>
      <w:r>
        <w:t xml:space="preserve"> </w:t>
      </w:r>
      <w:r>
        <w:rPr>
          <w:bCs/>
          <w:b/>
        </w:rPr>
        <w:t xml:space="preserve">UAG</w:t>
      </w:r>
      <w:r>
        <w:t xml:space="preserve"> </w:t>
      </w:r>
      <w:r>
        <w:t xml:space="preserve">if required.</w:t>
      </w:r>
    </w:p>
    <w:bookmarkEnd w:id="21"/>
    <w:bookmarkStart w:id="22" w:name="conceptual-architecture"/>
    <w:p>
      <w:pPr>
        <w:pStyle w:val="Heading1"/>
      </w:pPr>
      <w:r>
        <w:t xml:space="preserve">Conceptual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Users &amp; Access</w:t>
      </w:r>
      <w:r>
        <w:t xml:space="preserve">: Secure HTTPS via Horizon Clients; UAG for external; internal connects to Connection Servers.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Identity &amp; Policy</w:t>
      </w:r>
      <w:r>
        <w:t xml:space="preserve">: UNKNOWN. DoD authentication and policy; MFA=yes.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Desktops &amp; Apps</w:t>
      </w:r>
      <w:r>
        <w:t xml:space="preserve">: Instant Clone non‑persistent desktops; apps via App Volumes / AoD.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Profiles</w:t>
      </w:r>
      <w:r>
        <w:t xml:space="preserve">: DEM and/or FSLogix for consistency and performance.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Operations</w:t>
      </w:r>
      <w:r>
        <w:t xml:space="preserve">: Image creation/validation; promotion pipeline as in scope.</w:t>
      </w:r>
    </w:p>
    <w:bookmarkEnd w:id="22"/>
    <w:bookmarkStart w:id="23" w:name="logical-architecture"/>
    <w:p>
      <w:pPr>
        <w:pStyle w:val="Heading1"/>
      </w:pPr>
      <w:r>
        <w:t xml:space="preserve">Logical Architecture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Core Services</w:t>
      </w:r>
      <w:r>
        <w:t xml:space="preserve">: Connection Servers; Events DB; App Volumes; DEM;</w:t>
      </w:r>
      <w:r>
        <w:t xml:space="preserve"> </w:t>
      </w:r>
      <w:r>
        <w:rPr>
          <w:bCs/>
          <w:b/>
        </w:rPr>
        <w:t xml:space="preserve">UAG</w:t>
      </w:r>
      <w:r>
        <w:t xml:space="preserve"> </w:t>
      </w:r>
      <w:r>
        <w:t xml:space="preserve">(if remote).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Integrations</w:t>
      </w:r>
      <w:r>
        <w:t xml:space="preserve">: vCenter/ESXi; DNS/NTP/Certificates; Load Balancer Other.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Namespace &amp; Federation</w:t>
      </w:r>
      <w:r>
        <w:t xml:space="preserve">: Unified namespace; optional</w:t>
      </w:r>
      <w:r>
        <w:t xml:space="preserve"> </w:t>
      </w:r>
      <w:r>
        <w:rPr>
          <w:bCs/>
          <w:b/>
        </w:rPr>
        <w:t xml:space="preserve">Cloud Pod Architecture (CPA)</w:t>
      </w:r>
      <w:r>
        <w:t xml:space="preserve"> </w:t>
      </w:r>
      <w:r>
        <w:t xml:space="preserve">for multi‑site/global entitlements.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Security</w:t>
      </w:r>
      <w:r>
        <w:t xml:space="preserve">: TLS via UAG; segmented DMZ/Management/Desktop networks; MFA on remote flows.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Monitoring/Logging</w:t>
      </w:r>
      <w:r>
        <w:t xml:space="preserve">: Integrate with enterprise platforms (syslog/SIEM/metrics).</w:t>
      </w:r>
    </w:p>
    <w:bookmarkEnd w:id="23"/>
    <w:bookmarkStart w:id="24" w:name="physical-architecture"/>
    <w:p>
      <w:pPr>
        <w:pStyle w:val="Heading1"/>
      </w:pPr>
      <w:r>
        <w:t xml:space="preserve">Physical Architecture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Platform</w:t>
      </w:r>
      <w:r>
        <w:t xml:space="preserve">: vSphere (ESXi); Storage: Other.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Sites/Regions</w:t>
      </w:r>
      <w:r>
        <w:t xml:space="preserve">: 6 sites - Air Force Osan AB, Korea Eielson, Fairbanks Alaska JBER, Anchorage Alaska Misawa AB, Japan Kunsan AB, Korea Kadena AB, Okinawa Japan with resilient connectivity.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Placement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DMZ</w:t>
      </w:r>
      <w:r>
        <w:t xml:space="preserve">: UAG behind external load balancer / GSLB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Management</w:t>
      </w:r>
      <w:r>
        <w:t xml:space="preserve">: Connection Servers, App Volumes, Events DB/SQL, DEM/FSLogix shares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Desktop</w:t>
      </w:r>
      <w:r>
        <w:t xml:space="preserve">: Instant Clone pools in dedicated clusters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Networking</w:t>
      </w:r>
      <w:r>
        <w:t xml:space="preserve">: Segmented tiers; firewall rules per Horizon/UAG reference; optional GSLB for unified namespace.</w:t>
      </w:r>
    </w:p>
    <w:bookmarkEnd w:id="24"/>
    <w:bookmarkStart w:id="25" w:name="cloud-integration-optional"/>
    <w:p>
      <w:pPr>
        <w:pStyle w:val="Heading1"/>
      </w:pPr>
      <w:r>
        <w:t xml:space="preserve">Cloud Integration (Optional)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Horizon 8 + CPA</w:t>
      </w:r>
      <w:r>
        <w:t xml:space="preserve"> </w:t>
      </w:r>
      <w:r>
        <w:t xml:space="preserve">— unified namespace across sites; manual cloud pool scaling.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Horizon Cloud + Universal Broker</w:t>
      </w:r>
      <w:r>
        <w:t xml:space="preserve"> </w:t>
      </w:r>
      <w:r>
        <w:t xml:space="preserve">— elastic provisioning with a different brokering model.</w:t>
      </w:r>
    </w:p>
    <w:p>
      <w:pPr>
        <w:pStyle w:val="FirstParagraph"/>
      </w:pPr>
      <w:r>
        <w:rPr>
          <w:bCs/>
          <w:b/>
        </w:rPr>
        <w:t xml:space="preserve">Recommendation</w:t>
      </w:r>
      <w:r>
        <w:t xml:space="preserve">: Start with</w:t>
      </w:r>
      <w:r>
        <w:t xml:space="preserve"> </w:t>
      </w:r>
      <w:r>
        <w:rPr>
          <w:bCs/>
          <w:b/>
        </w:rPr>
        <w:t xml:space="preserve">CPA</w:t>
      </w:r>
      <w:r>
        <w:t xml:space="preserve"> </w:t>
      </w:r>
      <w:r>
        <w:t xml:space="preserve">for simplicity; evolve toward Universal Broker as elasticity requirements grow.</w:t>
      </w:r>
    </w:p>
    <w:bookmarkEnd w:id="25"/>
    <w:bookmarkStart w:id="26" w:name="assumptions-constraints"/>
    <w:p>
      <w:pPr>
        <w:pStyle w:val="Heading1"/>
      </w:pPr>
      <w:r>
        <w:t xml:space="preserve">Assumptions &amp; Constraints</w:t>
      </w:r>
    </w:p>
    <w:p>
      <w:pPr>
        <w:numPr>
          <w:ilvl w:val="0"/>
          <w:numId w:val="1006"/>
        </w:numPr>
        <w:pStyle w:val="Compact"/>
      </w:pPr>
      <w:r>
        <w:t xml:space="preserve">Provide identity (UNKNOWN. DoD), DNS/NTP, certificates, and load balancing.</w:t>
      </w:r>
    </w:p>
    <w:p>
      <w:pPr>
        <w:numPr>
          <w:ilvl w:val="0"/>
          <w:numId w:val="1006"/>
        </w:numPr>
        <w:pStyle w:val="Compact"/>
      </w:pPr>
      <w:r>
        <w:t xml:space="preserve">Supply firewall rules, IPs, and TLS materials before build.</w:t>
      </w:r>
    </w:p>
    <w:p>
      <w:pPr>
        <w:numPr>
          <w:ilvl w:val="0"/>
          <w:numId w:val="1006"/>
        </w:numPr>
        <w:pStyle w:val="Compact"/>
      </w:pPr>
      <w:r>
        <w:t xml:space="preserve">Sizing follows 500 and performance targets.</w:t>
      </w:r>
    </w:p>
    <w:bookmarkEnd w:id="26"/>
    <w:bookmarkStart w:id="27" w:name="next-steps"/>
    <w:p>
      <w:pPr>
        <w:pStyle w:val="Heading1"/>
      </w:pPr>
      <w:r>
        <w:t xml:space="preserve">Next Steps</w:t>
      </w:r>
    </w:p>
    <w:p>
      <w:pPr>
        <w:numPr>
          <w:ilvl w:val="0"/>
          <w:numId w:val="1007"/>
        </w:numPr>
        <w:pStyle w:val="Compact"/>
      </w:pPr>
      <w:r>
        <w:t xml:space="preserve">Finalize LLD and firewall matrix.</w:t>
      </w:r>
    </w:p>
    <w:p>
      <w:pPr>
        <w:numPr>
          <w:ilvl w:val="0"/>
          <w:numId w:val="1007"/>
        </w:numPr>
        <w:pStyle w:val="Compact"/>
      </w:pPr>
      <w:r>
        <w:t xml:space="preserve">Build POC/dev, validate ATP, iterate.</w:t>
      </w:r>
    </w:p>
    <w:p>
      <w:pPr>
        <w:numPr>
          <w:ilvl w:val="0"/>
          <w:numId w:val="1007"/>
        </w:numPr>
        <w:pStyle w:val="Compact"/>
      </w:pPr>
      <w:r>
        <w:t xml:space="preserve">Scale to production; enable DR/CPA/GSLB; complete KT and handoff.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creator>HAWAII PACAF HICKAM</dc:creator>
  <cp:keywords/>
  <dcterms:created xsi:type="dcterms:W3CDTF">2025-10-15T22:54:57Z</dcterms:created>
  <dcterms:modified xsi:type="dcterms:W3CDTF">2025-10-15T22:54:57Z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Hawaii PACAF HQ HPE Storage &amp; Cisco UCS SIPR VDI 6 Sites 2025</vt:lpwstr>
  </property>
</Properties>
</file>