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Level</w:t>
      </w:r>
      <w:r>
        <w:t xml:space="preserve"> </w:t>
      </w:r>
      <w:r>
        <w:t xml:space="preserve">of</w:t>
      </w:r>
      <w:r>
        <w:t xml:space="preserve"> </w:t>
      </w:r>
      <w:r>
        <w:t xml:space="preserve">Effort</w:t>
      </w:r>
      <w:r>
        <w:t xml:space="preserve"> </w:t>
      </w:r>
      <w:r>
        <w:t xml:space="preserve">(LOE)</w:t>
      </w:r>
    </w:p>
    <w:p>
      <w:pPr>
        <w:pStyle w:val="Subtitle"/>
      </w:pPr>
      <w:r>
        <w:t xml:space="preserve">Hawaii</w:t>
      </w:r>
      <w:r>
        <w:t xml:space="preserve"> </w:t>
      </w:r>
      <w:r>
        <w:t xml:space="preserve">PACAF</w:t>
      </w:r>
      <w:r>
        <w:t xml:space="preserve"> </w:t>
      </w:r>
      <w:r>
        <w:t xml:space="preserve">HQ</w:t>
      </w:r>
      <w:r>
        <w:t xml:space="preserve"> </w:t>
      </w:r>
      <w:r>
        <w:t xml:space="preserve">HPE</w:t>
      </w:r>
      <w:r>
        <w:t xml:space="preserve"> </w:t>
      </w:r>
      <w:r>
        <w:t xml:space="preserve">Storage</w:t>
      </w:r>
      <w:r>
        <w:t xml:space="preserve"> </w:t>
      </w:r>
      <w:r>
        <w:t xml:space="preserve">&amp;</w:t>
      </w:r>
      <w:r>
        <w:t xml:space="preserve"> </w:t>
      </w:r>
      <w:r>
        <w:t xml:space="preserve">Cisco</w:t>
      </w:r>
      <w:r>
        <w:t xml:space="preserve"> </w:t>
      </w:r>
      <w:r>
        <w:t xml:space="preserve">UCS</w:t>
      </w:r>
      <w:r>
        <w:t xml:space="preserve"> </w:t>
      </w:r>
      <w:r>
        <w:t xml:space="preserve">SIPR</w:t>
      </w:r>
      <w:r>
        <w:t xml:space="preserve"> </w:t>
      </w:r>
      <w:r>
        <w:t xml:space="preserve">VDI</w:t>
      </w:r>
      <w:r>
        <w:t xml:space="preserve"> </w:t>
      </w:r>
      <w:r>
        <w:t xml:space="preserve">6</w:t>
      </w:r>
      <w:r>
        <w:t xml:space="preserve"> </w:t>
      </w:r>
      <w:r>
        <w:t xml:space="preserve">Sites</w:t>
      </w:r>
      <w:r>
        <w:t xml:space="preserve"> </w:t>
      </w:r>
      <w:r>
        <w:t xml:space="preserve">2025</w:t>
      </w:r>
    </w:p>
    <w:p>
      <w:pPr>
        <w:pStyle w:val="Author"/>
      </w:pPr>
      <w:r>
        <w:t xml:space="preserve">HAWAII</w:t>
      </w:r>
      <w:r>
        <w:t xml:space="preserve"> </w:t>
      </w:r>
      <w:r>
        <w:t xml:space="preserve">PACAF</w:t>
      </w:r>
      <w:r>
        <w:t xml:space="preserve"> </w:t>
      </w:r>
      <w:r>
        <w:t xml:space="preserve">HICKAM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15,</w:t>
      </w:r>
      <w:r>
        <w:t xml:space="preserve"> </w:t>
      </w:r>
      <w:r>
        <w:t xml:space="preserve">2025</w:t>
      </w:r>
    </w:p>
    <w:bookmarkStart w:id="20" w:name="overview"/>
    <w:p>
      <w:pPr>
        <w:pStyle w:val="Heading1"/>
      </w:pPr>
      <w:r>
        <w:t xml:space="preserve">Overview</w:t>
      </w:r>
    </w:p>
    <w:p>
      <w:pPr>
        <w:pStyle w:val="FirstParagraph"/>
      </w:pPr>
      <w:r>
        <w:t xml:space="preserve">This</w:t>
      </w:r>
      <w:r>
        <w:t xml:space="preserve"> </w:t>
      </w:r>
      <w:r>
        <w:rPr>
          <w:bCs/>
          <w:b/>
        </w:rPr>
        <w:t xml:space="preserve">LOE</w:t>
      </w:r>
      <w:r>
        <w:t xml:space="preserve"> </w:t>
      </w:r>
      <w:r>
        <w:t xml:space="preserve">provides a high‑level estimate aligned to the</w:t>
      </w:r>
      <w:r>
        <w:t xml:space="preserve"> </w:t>
      </w:r>
      <w:r>
        <w:rPr>
          <w:bCs/>
          <w:b/>
        </w:rPr>
        <w:t xml:space="preserve">EPDIO</w:t>
      </w:r>
      <w:r>
        <w:t xml:space="preserve"> </w:t>
      </w:r>
      <w:r>
        <w:t xml:space="preserve">framework to support a</w:t>
      </w:r>
      <w:r>
        <w:t xml:space="preserve"> </w:t>
      </w:r>
      <w:r>
        <w:rPr>
          <w:bCs/>
          <w:b/>
        </w:rPr>
        <w:t xml:space="preserve">Rough Order of Magnitude (ROM)</w:t>
      </w:r>
      <w:r>
        <w:t xml:space="preserve"> </w:t>
      </w:r>
      <w:r>
        <w:t xml:space="preserve">budget for</w:t>
      </w:r>
      <w:r>
        <w:t xml:space="preserve"> </w:t>
      </w:r>
      <w:r>
        <w:rPr>
          <w:bCs/>
          <w:b/>
        </w:rPr>
        <w:t xml:space="preserve">Hawaii PACAF HQ HPE Storage &amp; Cisco UCS SIPR VDI 6 Sites 2025</w:t>
      </w:r>
      <w:r>
        <w:t xml:space="preserve"> </w:t>
      </w:r>
      <w:r>
        <w:t xml:space="preserve">at</w:t>
      </w:r>
      <w:r>
        <w:t xml:space="preserve"> </w:t>
      </w:r>
      <w:r>
        <w:rPr>
          <w:bCs/>
          <w:b/>
        </w:rPr>
        <w:t xml:space="preserve">HAWAII PACAF HICKAM</w:t>
      </w:r>
      <w:r>
        <w:t xml:space="preserve">. Final hours may change based on detailed design and environment readiness.</w:t>
      </w:r>
    </w:p>
    <w:bookmarkEnd w:id="20"/>
    <w:bookmarkStart w:id="21" w:name="effort-drivers"/>
    <w:p>
      <w:pPr>
        <w:pStyle w:val="Heading1"/>
      </w:pPr>
      <w:r>
        <w:t xml:space="preserve">Effort Drivers</w:t>
      </w:r>
    </w:p>
    <w:p>
      <w:pPr>
        <w:numPr>
          <w:ilvl w:val="0"/>
          <w:numId w:val="1001"/>
        </w:numPr>
        <w:pStyle w:val="Compact"/>
      </w:pPr>
      <w:r>
        <w:t xml:space="preserve">Remote access/UAG and load balancing</w:t>
      </w:r>
    </w:p>
    <w:p>
      <w:pPr>
        <w:numPr>
          <w:ilvl w:val="0"/>
          <w:numId w:val="1001"/>
        </w:numPr>
        <w:pStyle w:val="Compact"/>
      </w:pPr>
      <w:r>
        <w:t xml:space="preserve">App delivery (App Volumes / Apps on Demand)</w:t>
      </w:r>
    </w:p>
    <w:p>
      <w:pPr>
        <w:numPr>
          <w:ilvl w:val="0"/>
          <w:numId w:val="1001"/>
        </w:numPr>
        <w:pStyle w:val="Compact"/>
      </w:pPr>
      <w:r>
        <w:t xml:space="preserve">Profile management (DEM / FSLogix)</w:t>
      </w:r>
    </w:p>
    <w:p>
      <w:pPr>
        <w:numPr>
          <w:ilvl w:val="0"/>
          <w:numId w:val="1001"/>
        </w:numPr>
        <w:pStyle w:val="Compact"/>
      </w:pPr>
      <w:r>
        <w:t xml:space="preserve">MFA/IdP integration and certificates</w:t>
      </w:r>
    </w:p>
    <w:p>
      <w:pPr>
        <w:numPr>
          <w:ilvl w:val="0"/>
          <w:numId w:val="1001"/>
        </w:numPr>
        <w:pStyle w:val="Compact"/>
      </w:pPr>
      <w:r>
        <w:t xml:space="preserve">GPU‑enabled pools</w:t>
      </w:r>
    </w:p>
    <w:p>
      <w:pPr>
        <w:numPr>
          <w:ilvl w:val="0"/>
          <w:numId w:val="1001"/>
        </w:numPr>
        <w:pStyle w:val="Compact"/>
      </w:pPr>
      <w:r>
        <w:t xml:space="preserve">Multi‑site namespace/CPA and GSLB</w:t>
      </w:r>
    </w:p>
    <w:bookmarkEnd w:id="21"/>
    <w:bookmarkStart w:id="27" w:name="highlevel-tasks-epdio"/>
    <w:p>
      <w:pPr>
        <w:pStyle w:val="Heading1"/>
      </w:pPr>
      <w:r>
        <w:t xml:space="preserve">High‑Level Tasks (EPDIO)</w:t>
      </w:r>
    </w:p>
    <w:bookmarkStart w:id="22" w:name="engage"/>
    <w:p>
      <w:pPr>
        <w:pStyle w:val="Heading2"/>
      </w:pPr>
      <w:r>
        <w:t xml:space="preserve">Engage</w:t>
      </w:r>
    </w:p>
    <w:p>
      <w:pPr>
        <w:numPr>
          <w:ilvl w:val="0"/>
          <w:numId w:val="1002"/>
        </w:numPr>
        <w:pStyle w:val="Compact"/>
      </w:pPr>
      <w:r>
        <w:t xml:space="preserve">Kickoff, stakeholders, communications, success criteria</w:t>
      </w:r>
    </w:p>
    <w:bookmarkEnd w:id="22"/>
    <w:bookmarkStart w:id="23" w:name="plan"/>
    <w:p>
      <w:pPr>
        <w:pStyle w:val="Heading2"/>
      </w:pPr>
      <w:r>
        <w:t xml:space="preserve">Plan</w:t>
      </w:r>
    </w:p>
    <w:p>
      <w:pPr>
        <w:numPr>
          <w:ilvl w:val="0"/>
          <w:numId w:val="1003"/>
        </w:numPr>
        <w:pStyle w:val="Compact"/>
      </w:pPr>
      <w:r>
        <w:t xml:space="preserve">Requirements &amp; constraints; HLD scope and acceptance criteria</w:t>
      </w:r>
    </w:p>
    <w:bookmarkEnd w:id="23"/>
    <w:bookmarkStart w:id="24" w:name="design"/>
    <w:p>
      <w:pPr>
        <w:pStyle w:val="Heading2"/>
      </w:pPr>
      <w:r>
        <w:t xml:space="preserve">Design</w:t>
      </w:r>
    </w:p>
    <w:p>
      <w:pPr>
        <w:numPr>
          <w:ilvl w:val="0"/>
          <w:numId w:val="1004"/>
        </w:numPr>
        <w:pStyle w:val="Compact"/>
      </w:pPr>
      <w:r>
        <w:t xml:space="preserve">LLD inputs (naming, networking, identity, security); integration patterns</w:t>
      </w:r>
    </w:p>
    <w:bookmarkEnd w:id="24"/>
    <w:bookmarkStart w:id="25" w:name="implement"/>
    <w:p>
      <w:pPr>
        <w:pStyle w:val="Heading2"/>
      </w:pPr>
      <w:r>
        <w:t xml:space="preserve">Implement</w:t>
      </w:r>
    </w:p>
    <w:p>
      <w:pPr>
        <w:numPr>
          <w:ilvl w:val="0"/>
          <w:numId w:val="1005"/>
        </w:numPr>
        <w:pStyle w:val="Compact"/>
      </w:pPr>
      <w:r>
        <w:t xml:space="preserve">Horizon core build; UAG (if in scope); integrations; validation/remediation</w:t>
      </w:r>
    </w:p>
    <w:bookmarkEnd w:id="25"/>
    <w:bookmarkStart w:id="26" w:name="operate"/>
    <w:p>
      <w:pPr>
        <w:pStyle w:val="Heading2"/>
      </w:pPr>
      <w:r>
        <w:t xml:space="preserve">Operate</w:t>
      </w:r>
    </w:p>
    <w:p>
      <w:pPr>
        <w:numPr>
          <w:ilvl w:val="0"/>
          <w:numId w:val="1006"/>
        </w:numPr>
        <w:pStyle w:val="Compact"/>
      </w:pPr>
      <w:r>
        <w:t xml:space="preserve">ATP execution and remediation; As‑Built; KT</w:t>
      </w:r>
    </w:p>
    <w:bookmarkEnd w:id="26"/>
    <w:bookmarkEnd w:id="27"/>
    <w:bookmarkStart w:id="28" w:name="hours-summary-baseline-feature-adders"/>
    <w:p>
      <w:pPr>
        <w:pStyle w:val="Heading1"/>
      </w:pPr>
      <w:r>
        <w:t xml:space="preserve">Hours Summary (baseline + feature adders)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Phase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Hours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Primary Roles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Engage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PM, SA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Plan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Design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Implement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IE, SA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Operate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SA, PM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104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</w:t>
            </w:r>
          </w:p>
        </w:tc>
      </w:tr>
    </w:tbl>
    <w:p>
      <w:pPr>
        <w:pStyle w:val="BodyText"/>
      </w:pPr>
      <w:r>
        <w:rPr>
          <w:bCs/>
          <w:b/>
        </w:rPr>
        <w:t xml:space="preserve">ROM (optional)</w:t>
      </w:r>
    </w:p>
    <w:p>
      <w:pPr>
        <w:pStyle w:val="BodyText"/>
      </w:pPr>
      <w:r>
        <w:t xml:space="preserve">Provide</w:t>
      </w:r>
      <w:r>
        <w:t xml:space="preserve"> </w:t>
      </w:r>
      <w:r>
        <w:rPr>
          <w:rStyle w:val="VerbatimChar"/>
        </w:rPr>
        <w:t xml:space="preserve">blended_rate</w:t>
      </w:r>
      <w:r>
        <w:t xml:space="preserve"> </w:t>
      </w:r>
      <w:r>
        <w:t xml:space="preserve">in the form to compute a ROM total.</w:t>
      </w:r>
    </w:p>
    <w:bookmarkEnd w:id="28"/>
    <w:bookmarkStart w:id="29" w:name="assumptions"/>
    <w:p>
      <w:pPr>
        <w:pStyle w:val="Heading1"/>
      </w:pPr>
      <w:r>
        <w:t xml:space="preserve">Assumptions</w:t>
      </w:r>
    </w:p>
    <w:p>
      <w:pPr>
        <w:numPr>
          <w:ilvl w:val="0"/>
          <w:numId w:val="1007"/>
        </w:numPr>
        <w:pStyle w:val="Compact"/>
      </w:pPr>
      <w:r>
        <w:t xml:space="preserve">Access to vSphere/VCF, vCenter, AD, DNS/NTP, certificates, load balancer</w:t>
      </w:r>
    </w:p>
    <w:p>
      <w:pPr>
        <w:numPr>
          <w:ilvl w:val="0"/>
          <w:numId w:val="1007"/>
        </w:numPr>
        <w:pStyle w:val="Compact"/>
      </w:pPr>
      <w:r>
        <w:t xml:space="preserve">Firewall rules/IPs/TLS materials available on schedule; SMEs attend sessions</w:t>
      </w:r>
    </w:p>
    <w:bookmarkEnd w:id="29"/>
    <w:bookmarkStart w:id="30" w:name="exclusions"/>
    <w:p>
      <w:pPr>
        <w:pStyle w:val="Heading1"/>
      </w:pPr>
      <w:r>
        <w:t xml:space="preserve">Exclusions</w:t>
      </w:r>
    </w:p>
    <w:p>
      <w:pPr>
        <w:numPr>
          <w:ilvl w:val="0"/>
          <w:numId w:val="1008"/>
        </w:numPr>
        <w:pStyle w:val="Compact"/>
      </w:pPr>
      <w:r>
        <w:t xml:space="preserve">Managed services / run operations beyond KT</w:t>
      </w:r>
    </w:p>
    <w:p>
      <w:pPr>
        <w:numPr>
          <w:ilvl w:val="0"/>
          <w:numId w:val="1008"/>
        </w:numPr>
        <w:pStyle w:val="Compact"/>
      </w:pPr>
      <w:r>
        <w:t xml:space="preserve">Endpoint remediation; third‑party app packaging beyond App Volumes enablement</w:t>
      </w:r>
    </w:p>
    <w:p>
      <w:pPr>
        <w:numPr>
          <w:ilvl w:val="0"/>
          <w:numId w:val="1008"/>
        </w:numPr>
        <w:pStyle w:val="Compact"/>
      </w:pPr>
      <w:r>
        <w:t xml:space="preserve">Compliance certification, pen‑testing, or broad network redesign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Level of Effort (LOE)</dc:title>
  <dc:creator>HAWAII PACAF HICKAM</dc:creator>
  <cp:keywords/>
  <dcterms:created xsi:type="dcterms:W3CDTF">2025-10-15T22:54:57Z</dcterms:created>
  <dcterms:modified xsi:type="dcterms:W3CDTF">2025-10-15T22:54:57Z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15, 2025</vt:lpwstr>
  </property>
  <property fmtid="{D5CDD505-2E9C-101B-9397-08002B2CF9AE}" pid="3" name="subtitle">
    <vt:lpwstr>Hawaii PACAF HQ HPE Storage &amp; Cisco UCS SIPR VDI 6 Sites 2025</vt:lpwstr>
  </property>
</Properties>
</file>