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Statement</w:t>
      </w:r>
      <w:r>
        <w:t xml:space="preserve"> </w:t>
      </w:r>
      <w:r>
        <w:t xml:space="preserve">of</w:t>
      </w:r>
      <w:r>
        <w:t xml:space="preserve"> </w:t>
      </w:r>
      <w:r>
        <w:t xml:space="preserve">Work</w:t>
      </w:r>
    </w:p>
    <w:p>
      <w:pPr>
        <w:pStyle w:val="Subtitle"/>
      </w:pPr>
      <w:r>
        <w:t xml:space="preserve">Hawaii</w:t>
      </w:r>
      <w:r>
        <w:t xml:space="preserve"> </w:t>
      </w:r>
      <w:r>
        <w:t xml:space="preserve">PACAF</w:t>
      </w:r>
      <w:r>
        <w:t xml:space="preserve"> </w:t>
      </w:r>
      <w:r>
        <w:t xml:space="preserve">HQ</w:t>
      </w:r>
      <w:r>
        <w:t xml:space="preserve"> </w:t>
      </w:r>
      <w:r>
        <w:t xml:space="preserve">HPE</w:t>
      </w:r>
      <w:r>
        <w:t xml:space="preserve"> </w:t>
      </w:r>
      <w:r>
        <w:t xml:space="preserve">Storage</w:t>
      </w:r>
      <w:r>
        <w:t xml:space="preserve"> </w:t>
      </w:r>
      <w:r>
        <w:t xml:space="preserve">&amp;</w:t>
      </w:r>
      <w:r>
        <w:t xml:space="preserve"> </w:t>
      </w:r>
      <w:r>
        <w:t xml:space="preserve">Cisco</w:t>
      </w:r>
      <w:r>
        <w:t xml:space="preserve"> </w:t>
      </w:r>
      <w:r>
        <w:t xml:space="preserve">UCS</w:t>
      </w:r>
      <w:r>
        <w:t xml:space="preserve"> </w:t>
      </w:r>
      <w:r>
        <w:t xml:space="preserve">SIPR</w:t>
      </w:r>
      <w:r>
        <w:t xml:space="preserve"> </w:t>
      </w:r>
      <w:r>
        <w:t xml:space="preserve">VDI</w:t>
      </w:r>
      <w:r>
        <w:t xml:space="preserve"> </w:t>
      </w:r>
      <w:r>
        <w:t xml:space="preserve">6</w:t>
      </w:r>
      <w:r>
        <w:t xml:space="preserve"> </w:t>
      </w:r>
      <w:r>
        <w:t xml:space="preserve">Sites</w:t>
      </w:r>
      <w:r>
        <w:t xml:space="preserve"> </w:t>
      </w:r>
      <w:r>
        <w:t xml:space="preserve">2025</w:t>
      </w:r>
    </w:p>
    <w:p>
      <w:pPr>
        <w:pStyle w:val="Author"/>
      </w:pPr>
      <w:r>
        <w:t xml:space="preserve">HAWAII</w:t>
      </w:r>
      <w:r>
        <w:t xml:space="preserve"> </w:t>
      </w:r>
      <w:r>
        <w:t xml:space="preserve">PACAF</w:t>
      </w:r>
      <w:r>
        <w:t xml:space="preserve"> </w:t>
      </w:r>
      <w:r>
        <w:t xml:space="preserve">HICKAM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2025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Statement of Work (</w:t>
      </w:r>
      <w:r>
        <w:t xml:space="preserve">“</w:t>
      </w:r>
      <w:r>
        <w:t xml:space="preserve">SOW</w:t>
      </w:r>
      <w:r>
        <w:t xml:space="preserve">”</w:t>
      </w:r>
      <w:r>
        <w:t xml:space="preserve">) describes services to</w:t>
      </w:r>
      <w:r>
        <w:t xml:space="preserve"> </w:t>
      </w:r>
      <w:r>
        <w:rPr>
          <w:bCs/>
          <w:b/>
        </w:rPr>
        <w:t xml:space="preserve">plan and deliver</w:t>
      </w:r>
      <w:r>
        <w:t xml:space="preserve"> </w:t>
      </w:r>
      <w:r>
        <w:t xml:space="preserve">an Omnissa Horizon solution for</w:t>
      </w:r>
      <w:r>
        <w:t xml:space="preserve"> </w:t>
      </w:r>
      <w:r>
        <w:rPr>
          <w:bCs/>
          <w:b/>
        </w:rPr>
        <w:t xml:space="preserve">HAWAII PACAF HICKAM</w:t>
      </w:r>
      <w:r>
        <w:t xml:space="preserve"> </w:t>
      </w:r>
      <w:r>
        <w:t xml:space="preserve">in support of</w:t>
      </w:r>
      <w:r>
        <w:t xml:space="preserve"> </w:t>
      </w:r>
      <w:r>
        <w:rPr>
          <w:bCs/>
          <w:b/>
        </w:rPr>
        <w:t xml:space="preserve">Deploy solid windows 11 workstations via Horizon.</w:t>
      </w:r>
      <w:r>
        <w:t xml:space="preserve"> </w:t>
      </w:r>
      <w:r>
        <w:t xml:space="preserve">as part of</w:t>
      </w:r>
      <w:r>
        <w:t xml:space="preserve"> </w:t>
      </w:r>
      <w:r>
        <w:rPr>
          <w:bCs/>
          <w:b/>
        </w:rPr>
        <w:t xml:space="preserve">Hawaii PACAF HQ HPE Storage &amp; Cisco UCS SIPR VDI 6 Sites 2025</w:t>
      </w:r>
      <w:r>
        <w:t xml:space="preserve">. Work will follow the</w:t>
      </w:r>
      <w:r>
        <w:t xml:space="preserve"> </w:t>
      </w:r>
      <w:r>
        <w:rPr>
          <w:bCs/>
          <w:b/>
        </w:rPr>
        <w:t xml:space="preserve">EPDIO</w:t>
      </w:r>
      <w:r>
        <w:t xml:space="preserve"> </w:t>
      </w:r>
      <w:r>
        <w:t xml:space="preserve">framework (Engage, Plan, Design, Implement, Operate) and WWT delivery standards.</w:t>
      </w:r>
    </w:p>
    <w:bookmarkStart w:id="20" w:name="objectives"/>
    <w:p>
      <w:pPr>
        <w:pStyle w:val="Heading2"/>
      </w:pPr>
      <w:r>
        <w:t xml:space="preserve">Objectives</w:t>
      </w:r>
    </w:p>
    <w:p>
      <w:pPr>
        <w:numPr>
          <w:ilvl w:val="0"/>
          <w:numId w:val="1001"/>
        </w:numPr>
        <w:pStyle w:val="Compact"/>
      </w:pPr>
      <w:r>
        <w:t xml:space="preserve">Deliver a production‑ready Horizon platform on vSphere (ESXi) aligned to security, availability, and operability requirements.</w:t>
      </w:r>
    </w:p>
    <w:p>
      <w:pPr>
        <w:numPr>
          <w:ilvl w:val="0"/>
          <w:numId w:val="1001"/>
        </w:numPr>
        <w:pStyle w:val="Compact"/>
      </w:pPr>
      <w:r>
        <w:t xml:space="preserve">Integrate with enterprise services (AD, DNS/NTP, certificates, load balancer, logging/monitoring).</w:t>
      </w:r>
    </w:p>
    <w:p>
      <w:pPr>
        <w:numPr>
          <w:ilvl w:val="0"/>
          <w:numId w:val="1001"/>
        </w:numPr>
        <w:pStyle w:val="Compact"/>
      </w:pPr>
      <w:r>
        <w:t xml:space="preserve">Validate against success criteria and provide knowledge transfer.</w:t>
      </w:r>
    </w:p>
    <w:bookmarkEnd w:id="20"/>
    <w:bookmarkEnd w:id="21"/>
    <w:bookmarkStart w:id="22" w:name="scope-of-work"/>
    <w:p>
      <w:pPr>
        <w:pStyle w:val="Heading1"/>
      </w:pPr>
      <w:r>
        <w:t xml:space="preserve">Scope of Work</w:t>
      </w:r>
    </w:p>
    <w:p>
      <w:pPr>
        <w:pStyle w:val="FirstParagraph"/>
      </w:pPr>
      <w:r>
        <w:rPr>
          <w:bCs/>
          <w:b/>
        </w:rPr>
        <w:t xml:space="preserve">Population &amp; Reach</w:t>
      </w:r>
      <w:r>
        <w:t xml:space="preserve"> </w:t>
      </w:r>
      <w:r>
        <w:t xml:space="preserve">- Target users: 500</w:t>
      </w:r>
      <w:r>
        <w:t xml:space="preserve"> </w:t>
      </w:r>
      <w:r>
        <w:t xml:space="preserve">- Regions/sites: 6 sites - Air Force Osan AB, Korea Eielson, Fairbanks Alaska JBER, Anchorage Alaska Misawa AB, Japan Kunsan AB, Korea Kadena AB, Okinawa Japan</w:t>
      </w:r>
      <w:r>
        <w:t xml:space="preserve"> </w:t>
      </w:r>
      <w:r>
        <w:t xml:space="preserve">- Remote access required: yes</w:t>
      </w:r>
    </w:p>
    <w:p>
      <w:pPr>
        <w:pStyle w:val="BodyText"/>
      </w:pPr>
      <w:r>
        <w:rPr>
          <w:bCs/>
          <w:b/>
        </w:rPr>
        <w:t xml:space="preserve">Platform &amp; Services</w:t>
      </w:r>
      <w:r>
        <w:t xml:space="preserve"> </w:t>
      </w:r>
      <w:r>
        <w:t xml:space="preserve">- Platform: vSphere (ESXi); Storage: Other; Load balancer: Other</w:t>
      </w:r>
      <w:r>
        <w:t xml:space="preserve"> </w:t>
      </w:r>
      <w:r>
        <w:t xml:space="preserve">- Profile/App services: DEM=TBD, FSLogix=TBD, App Volumes=TBD</w:t>
      </w:r>
      <w:r>
        <w:t xml:space="preserve"> </w:t>
      </w:r>
      <w:r>
        <w:t xml:space="preserve">- Identity: UNKNOWN. DoD; MFA required: yes</w:t>
      </w:r>
    </w:p>
    <w:p>
      <w:pPr>
        <w:pStyle w:val="BodyText"/>
      </w:pPr>
      <w:r>
        <w:rPr>
          <w:bCs/>
          <w:b/>
        </w:rPr>
        <w:t xml:space="preserve">GPU/Graphics (if applicable)</w:t>
      </w:r>
      <w:r>
        <w:t xml:space="preserve"> </w:t>
      </w:r>
      <w:r>
        <w:t xml:space="preserve">- GPUs required: No; GPU users: 0; VRAM/user (GB): TBD; Use case: N/A</w:t>
      </w:r>
    </w:p>
    <w:bookmarkEnd w:id="22"/>
    <w:bookmarkStart w:id="28" w:name="epdio-phases"/>
    <w:p>
      <w:pPr>
        <w:pStyle w:val="Heading1"/>
      </w:pPr>
      <w:r>
        <w:t xml:space="preserve">EPDIO Phases</w:t>
      </w:r>
    </w:p>
    <w:bookmarkStart w:id="23" w:name="engage"/>
    <w:p>
      <w:pPr>
        <w:pStyle w:val="Heading2"/>
      </w:pPr>
      <w:r>
        <w:t xml:space="preserve">Engage</w:t>
      </w:r>
    </w:p>
    <w:p>
      <w:pPr>
        <w:numPr>
          <w:ilvl w:val="0"/>
          <w:numId w:val="1002"/>
        </w:numPr>
        <w:pStyle w:val="Compact"/>
      </w:pPr>
      <w:r>
        <w:t xml:space="preserve">Kickoff, stakeholder alignment, communication cadence, success criteria.</w:t>
      </w:r>
    </w:p>
    <w:p>
      <w:pPr>
        <w:numPr>
          <w:ilvl w:val="0"/>
          <w:numId w:val="1002"/>
        </w:numPr>
        <w:pStyle w:val="Compact"/>
      </w:pPr>
      <w:r>
        <w:t xml:space="preserve">Review presales intake; confirm measurable outcomes.</w:t>
      </w:r>
    </w:p>
    <w:bookmarkEnd w:id="23"/>
    <w:bookmarkStart w:id="24" w:name="plan"/>
    <w:p>
      <w:pPr>
        <w:pStyle w:val="Heading2"/>
      </w:pPr>
      <w:r>
        <w:t xml:space="preserve">Plan</w:t>
      </w:r>
    </w:p>
    <w:p>
      <w:pPr>
        <w:numPr>
          <w:ilvl w:val="0"/>
          <w:numId w:val="1003"/>
        </w:numPr>
        <w:pStyle w:val="Compact"/>
      </w:pPr>
      <w:r>
        <w:t xml:space="preserve">Confirm requirements and constraints; assess dependencies (network, identity, certificates).</w:t>
      </w:r>
    </w:p>
    <w:p>
      <w:pPr>
        <w:numPr>
          <w:ilvl w:val="0"/>
          <w:numId w:val="1003"/>
        </w:numPr>
        <w:pStyle w:val="Compact"/>
      </w:pPr>
      <w:r>
        <w:t xml:space="preserve">Develop High‑Level Design (HLD) outline and deployment approach.</w:t>
      </w:r>
    </w:p>
    <w:bookmarkEnd w:id="24"/>
    <w:bookmarkStart w:id="25" w:name="design"/>
    <w:p>
      <w:pPr>
        <w:pStyle w:val="Heading2"/>
      </w:pPr>
      <w:r>
        <w:t xml:space="preserve">Design</w:t>
      </w:r>
    </w:p>
    <w:p>
      <w:pPr>
        <w:numPr>
          <w:ilvl w:val="0"/>
          <w:numId w:val="1004"/>
        </w:numPr>
        <w:pStyle w:val="Compact"/>
      </w:pPr>
      <w:r>
        <w:t xml:space="preserve">Produce Low‑Level Design (LLD) including build steps, configuration values, naming, and security rules.</w:t>
      </w:r>
    </w:p>
    <w:p>
      <w:pPr>
        <w:numPr>
          <w:ilvl w:val="0"/>
          <w:numId w:val="1004"/>
        </w:numPr>
        <w:pStyle w:val="Compact"/>
      </w:pPr>
      <w:r>
        <w:t xml:space="preserve">Finalize integration for AD, vCenter, App Volumes, DEM/FSLogix, and UAG (if remote access).</w:t>
      </w:r>
    </w:p>
    <w:bookmarkEnd w:id="25"/>
    <w:bookmarkStart w:id="26" w:name="implement"/>
    <w:p>
      <w:pPr>
        <w:pStyle w:val="Heading2"/>
      </w:pPr>
      <w:r>
        <w:t xml:space="preserve">Implement</w:t>
      </w:r>
    </w:p>
    <w:p>
      <w:pPr>
        <w:numPr>
          <w:ilvl w:val="0"/>
          <w:numId w:val="1005"/>
        </w:numPr>
        <w:pStyle w:val="Compact"/>
      </w:pPr>
      <w:r>
        <w:t xml:space="preserve">Install/configure Horizon Connection Servers, licensing, Events DB, profile/app services.</w:t>
      </w:r>
    </w:p>
    <w:p>
      <w:pPr>
        <w:numPr>
          <w:ilvl w:val="0"/>
          <w:numId w:val="1005"/>
        </w:numPr>
        <w:pStyle w:val="Compact"/>
      </w:pPr>
      <w:r>
        <w:t xml:space="preserve">Configure Unified Access Gateway (if in scope) and load balancing.</w:t>
      </w:r>
    </w:p>
    <w:p>
      <w:pPr>
        <w:numPr>
          <w:ilvl w:val="0"/>
          <w:numId w:val="1005"/>
        </w:numPr>
        <w:pStyle w:val="Compact"/>
      </w:pPr>
      <w:r>
        <w:t xml:space="preserve">Integrate with vCenter/ESXi, AD, and enterprise services; execute validation and remediation.</w:t>
      </w:r>
    </w:p>
    <w:bookmarkEnd w:id="26"/>
    <w:bookmarkStart w:id="27" w:name="operate"/>
    <w:p>
      <w:pPr>
        <w:pStyle w:val="Heading2"/>
      </w:pPr>
      <w:r>
        <w:t xml:space="preserve">Operate</w:t>
      </w:r>
    </w:p>
    <w:p>
      <w:pPr>
        <w:numPr>
          <w:ilvl w:val="0"/>
          <w:numId w:val="1006"/>
        </w:numPr>
        <w:pStyle w:val="Compact"/>
      </w:pPr>
      <w:r>
        <w:t xml:space="preserve">Execute Acceptance Test Plan (ATP) against success criteria.</w:t>
      </w:r>
    </w:p>
    <w:p>
      <w:pPr>
        <w:numPr>
          <w:ilvl w:val="0"/>
          <w:numId w:val="1006"/>
        </w:numPr>
        <w:pStyle w:val="Compact"/>
      </w:pPr>
      <w:r>
        <w:t xml:space="preserve">Deliver As‑Built documentation and Knowledge Transfer (KT).</w:t>
      </w:r>
    </w:p>
    <w:bookmarkEnd w:id="27"/>
    <w:bookmarkEnd w:id="28"/>
    <w:bookmarkStart w:id="29" w:name="deliverables"/>
    <w:p>
      <w:pPr>
        <w:pStyle w:val="Heading1"/>
      </w:pPr>
      <w:r>
        <w:t xml:space="preserve">Deliverables</w:t>
      </w:r>
    </w:p>
    <w:p>
      <w:pPr>
        <w:numPr>
          <w:ilvl w:val="0"/>
          <w:numId w:val="1007"/>
        </w:numPr>
        <w:pStyle w:val="Compact"/>
      </w:pPr>
      <w:r>
        <w:t xml:space="preserve">High‑Level Design (HLD)</w:t>
      </w:r>
    </w:p>
    <w:p>
      <w:pPr>
        <w:numPr>
          <w:ilvl w:val="0"/>
          <w:numId w:val="1007"/>
        </w:numPr>
        <w:pStyle w:val="Compact"/>
      </w:pPr>
      <w:r>
        <w:t xml:space="preserve">Low‑Level Design (LLD)</w:t>
      </w:r>
    </w:p>
    <w:p>
      <w:pPr>
        <w:numPr>
          <w:ilvl w:val="0"/>
          <w:numId w:val="1007"/>
        </w:numPr>
        <w:pStyle w:val="Compact"/>
      </w:pPr>
      <w:r>
        <w:t xml:space="preserve">Configured Horizon platform per approved LLD</w:t>
      </w:r>
    </w:p>
    <w:p>
      <w:pPr>
        <w:numPr>
          <w:ilvl w:val="0"/>
          <w:numId w:val="1007"/>
        </w:numPr>
        <w:pStyle w:val="Compact"/>
      </w:pPr>
      <w:r>
        <w:t xml:space="preserve">Acceptance Test Plan (ATP) results and sign‑off</w:t>
      </w:r>
    </w:p>
    <w:p>
      <w:pPr>
        <w:numPr>
          <w:ilvl w:val="0"/>
          <w:numId w:val="1007"/>
        </w:numPr>
        <w:pStyle w:val="Compact"/>
      </w:pPr>
      <w:r>
        <w:t xml:space="preserve">As‑Built documentation</w:t>
      </w:r>
    </w:p>
    <w:p>
      <w:pPr>
        <w:numPr>
          <w:ilvl w:val="0"/>
          <w:numId w:val="1007"/>
        </w:numPr>
        <w:pStyle w:val="Compact"/>
      </w:pPr>
      <w:r>
        <w:t xml:space="preserve">Knowledge Transfer materials</w:t>
      </w:r>
    </w:p>
    <w:bookmarkEnd w:id="29"/>
    <w:bookmarkStart w:id="30" w:name="assumptions-exclusions"/>
    <w:p>
      <w:pPr>
        <w:pStyle w:val="Heading1"/>
      </w:pPr>
      <w:r>
        <w:t xml:space="preserve">Assumptions / Exclusions</w:t>
      </w:r>
    </w:p>
    <w:p>
      <w:pPr>
        <w:pStyle w:val="FirstParagraph"/>
      </w:pPr>
      <w:r>
        <w:rPr>
          <w:bCs/>
          <w:b/>
        </w:rPr>
        <w:t xml:space="preserve">Assumptions</w:t>
      </w:r>
      <w:r>
        <w:t xml:space="preserve"> </w:t>
      </w:r>
      <w:r>
        <w:t xml:space="preserve">- Customer provides access to vSphere (ESXi), vCenter, AD, DNS/NTP, certificate authority, and load balancer.</w:t>
      </w:r>
      <w:r>
        <w:t xml:space="preserve"> </w:t>
      </w:r>
      <w:r>
        <w:t xml:space="preserve">- Firewall rules, IPs, and certificates are available on schedule; SMEs attend workshops and reviews.</w:t>
      </w:r>
    </w:p>
    <w:p>
      <w:pPr>
        <w:pStyle w:val="BodyText"/>
      </w:pPr>
      <w:r>
        <w:rPr>
          <w:bCs/>
          <w:b/>
        </w:rPr>
        <w:t xml:space="preserve">Exclusions</w:t>
      </w:r>
      <w:r>
        <w:t xml:space="preserve"> </w:t>
      </w:r>
      <w:r>
        <w:t xml:space="preserve">- Ongoing managed services/run operations beyond KT.</w:t>
      </w:r>
      <w:r>
        <w:t xml:space="preserve"> </w:t>
      </w:r>
      <w:r>
        <w:t xml:space="preserve">- Endpoint remediation and third‑party app packaging beyond App Volumes enablement.</w:t>
      </w:r>
      <w:r>
        <w:t xml:space="preserve"> </w:t>
      </w:r>
      <w:r>
        <w:t xml:space="preserve">- Out‑of‑scope integrations unless added via change order.</w:t>
      </w:r>
    </w:p>
    <w:bookmarkEnd w:id="30"/>
    <w:bookmarkStart w:id="31" w:name="acceptance-criteria"/>
    <w:p>
      <w:pPr>
        <w:pStyle w:val="Heading1"/>
      </w:pPr>
      <w:r>
        <w:t xml:space="preserve">Acceptance Criteria</w:t>
      </w:r>
    </w:p>
    <w:p>
      <w:pPr>
        <w:pStyle w:val="FirstParagraph"/>
      </w:pPr>
      <w:r>
        <w:t xml:space="preserve">The solution is accepted when ATP passes with no critical defects, the configuration matches the approved LLD, and stakeholders confirm objectives are met.</w:t>
      </w:r>
    </w:p>
    <w:bookmarkEnd w:id="31"/>
    <w:bookmarkStart w:id="32" w:name="reference-data"/>
    <w:p>
      <w:pPr>
        <w:pStyle w:val="Heading1"/>
      </w:pPr>
      <w:r>
        <w:t xml:space="preserve">Reference Data</w:t>
      </w:r>
    </w:p>
    <w:p>
      <w:pPr>
        <w:numPr>
          <w:ilvl w:val="0"/>
          <w:numId w:val="1008"/>
        </w:numPr>
        <w:pStyle w:val="Compact"/>
      </w:pPr>
      <w:r>
        <w:t xml:space="preserve">Company: HAWAII PACAF HICKAM</w:t>
      </w:r>
    </w:p>
    <w:p>
      <w:pPr>
        <w:numPr>
          <w:ilvl w:val="0"/>
          <w:numId w:val="1008"/>
        </w:numPr>
        <w:pStyle w:val="Compact"/>
      </w:pPr>
      <w:r>
        <w:t xml:space="preserve">Opportunity: Hawaii PACAF HQ HPE Storage &amp; Cisco UCS SIPR VDI 6 Sites 2025</w:t>
      </w:r>
    </w:p>
    <w:p>
      <w:pPr>
        <w:numPr>
          <w:ilvl w:val="0"/>
          <w:numId w:val="1008"/>
        </w:numPr>
        <w:pStyle w:val="Compact"/>
      </w:pPr>
      <w:r>
        <w:t xml:space="preserve">Users (total/concurrent): 1500/500</w:t>
      </w:r>
    </w:p>
    <w:p>
      <w:pPr>
        <w:numPr>
          <w:ilvl w:val="0"/>
          <w:numId w:val="1008"/>
        </w:numPr>
        <w:pStyle w:val="Compact"/>
      </w:pPr>
      <w:r>
        <w:t xml:space="preserve">Remote access: yes</w:t>
      </w:r>
    </w:p>
    <w:p>
      <w:pPr>
        <w:numPr>
          <w:ilvl w:val="0"/>
          <w:numId w:val="1008"/>
        </w:numPr>
        <w:pStyle w:val="Compact"/>
      </w:pPr>
      <w:r>
        <w:t xml:space="preserve">Identity: UNKNOWN. DoD</w:t>
      </w:r>
    </w:p>
    <w:p>
      <w:pPr>
        <w:numPr>
          <w:ilvl w:val="0"/>
          <w:numId w:val="1008"/>
        </w:numPr>
        <w:pStyle w:val="Compact"/>
      </w:pPr>
      <w:r>
        <w:t xml:space="preserve">Regions/DCs: 6 sites - Air Force Osan AB, Korea Eielson, Fairbanks Alaska JBER, Anchorage Alaska Misawa AB, Japan Kunsan AB, Korea Kadena AB, Okinawa Japan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Work</dc:title>
  <dc:creator>HAWAII PACAF HICKAM</dc:creator>
  <cp:keywords/>
  <dcterms:created xsi:type="dcterms:W3CDTF">2025-10-15T22:54:57Z</dcterms:created>
  <dcterms:modified xsi:type="dcterms:W3CDTF">2025-10-15T22:54:57Z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15, 2025</vt:lpwstr>
  </property>
  <property fmtid="{D5CDD505-2E9C-101B-9397-08002B2CF9AE}" pid="3" name="subtitle">
    <vt:lpwstr>Hawaii PACAF HQ HPE Storage &amp; Cisco UCS SIPR VDI 6 Sites 2025</vt:lpwstr>
  </property>
</Properties>
</file>