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2827E" w14:textId="77777777" w:rsidR="00BB683F" w:rsidRPr="00BB683F" w:rsidRDefault="00BB683F" w:rsidP="00BB683F">
      <w:pPr>
        <w:spacing w:after="0"/>
        <w:rPr>
          <w:rFonts w:ascii="Times New Roman" w:eastAsia="DFKai-SB" w:hAnsi="Times New Roman" w:cs="Times New Roman"/>
          <w:b/>
          <w:bCs/>
          <w:sz w:val="20"/>
          <w:szCs w:val="20"/>
        </w:rPr>
      </w:pPr>
      <w:r w:rsidRPr="00BB683F">
        <w:rPr>
          <w:rFonts w:ascii="Times New Roman" w:eastAsia="DFKai-SB" w:hAnsi="Times New Roman" w:cs="Times New Roman"/>
          <w:b/>
          <w:bCs/>
          <w:sz w:val="20"/>
          <w:szCs w:val="20"/>
        </w:rPr>
        <w:t>Figure X: Design Space Positioning of Distributed LLM Inference Systems</w:t>
      </w:r>
    </w:p>
    <w:p w14:paraId="0774EF19" w14:textId="77777777" w:rsidR="00BB683F" w:rsidRPr="00BB683F" w:rsidRDefault="00BB683F" w:rsidP="00BB683F">
      <w:pPr>
        <w:spacing w:after="0"/>
        <w:rPr>
          <w:rFonts w:ascii="Times New Roman" w:eastAsia="DFKai-SB" w:hAnsi="Times New Roman" w:cs="Times New Roman"/>
          <w:sz w:val="20"/>
          <w:szCs w:val="20"/>
        </w:rPr>
      </w:pPr>
      <w:r w:rsidRPr="00BB683F">
        <w:rPr>
          <w:rFonts w:ascii="Times New Roman" w:eastAsia="DFKai-SB" w:hAnsi="Times New Roman" w:cs="Times New Roman"/>
          <w:b/>
          <w:bCs/>
          <w:sz w:val="20"/>
          <w:szCs w:val="20"/>
        </w:rPr>
        <w:t>Figure X</w:t>
      </w:r>
      <w:r w:rsidRPr="00BB683F">
        <w:rPr>
          <w:rFonts w:ascii="Times New Roman" w:eastAsia="DFKai-SB" w:hAnsi="Times New Roman" w:cs="Times New Roman"/>
          <w:sz w:val="20"/>
          <w:szCs w:val="20"/>
        </w:rPr>
        <w:t xml:space="preserve"> positions existing distributed LLM inference systems in the design space along two key dimensions: </w:t>
      </w:r>
      <w:r w:rsidRPr="00BB683F">
        <w:rPr>
          <w:rFonts w:ascii="Times New Roman" w:eastAsia="DFKai-SB" w:hAnsi="Times New Roman" w:cs="Times New Roman"/>
          <w:b/>
          <w:bCs/>
          <w:sz w:val="20"/>
          <w:szCs w:val="20"/>
        </w:rPr>
        <w:t>(</w:t>
      </w:r>
      <w:proofErr w:type="spellStart"/>
      <w:r w:rsidRPr="00BB683F">
        <w:rPr>
          <w:rFonts w:ascii="Times New Roman" w:eastAsia="DFKai-SB" w:hAnsi="Times New Roman" w:cs="Times New Roman"/>
          <w:b/>
          <w:bCs/>
          <w:sz w:val="20"/>
          <w:szCs w:val="20"/>
        </w:rPr>
        <w:t>i</w:t>
      </w:r>
      <w:proofErr w:type="spellEnd"/>
      <w:r w:rsidRPr="00BB683F">
        <w:rPr>
          <w:rFonts w:ascii="Times New Roman" w:eastAsia="DFKai-SB" w:hAnsi="Times New Roman" w:cs="Times New Roman"/>
          <w:b/>
          <w:bCs/>
          <w:sz w:val="20"/>
          <w:szCs w:val="20"/>
        </w:rPr>
        <w:t>) resource heterogeneity awareness</w:t>
      </w:r>
      <w:r w:rsidRPr="00BB683F">
        <w:rPr>
          <w:rFonts w:ascii="Times New Roman" w:eastAsia="DFKai-SB" w:hAnsi="Times New Roman" w:cs="Times New Roman"/>
          <w:sz w:val="20"/>
          <w:szCs w:val="20"/>
        </w:rPr>
        <w:t xml:space="preserve"> and </w:t>
      </w:r>
      <w:r w:rsidRPr="00BB683F">
        <w:rPr>
          <w:rFonts w:ascii="Times New Roman" w:eastAsia="DFKai-SB" w:hAnsi="Times New Roman" w:cs="Times New Roman"/>
          <w:b/>
          <w:bCs/>
          <w:sz w:val="20"/>
          <w:szCs w:val="20"/>
        </w:rPr>
        <w:t>(ii) explicit KV-aware scheduling.</w:t>
      </w:r>
      <w:r w:rsidRPr="00BB683F">
        <w:rPr>
          <w:rFonts w:ascii="Times New Roman" w:eastAsia="DFKai-SB" w:hAnsi="Times New Roman" w:cs="Times New Roman"/>
          <w:sz w:val="20"/>
          <w:szCs w:val="20"/>
        </w:rPr>
        <w:t xml:space="preserve"> The figure highlights how prior systems address only subsets of this space, while our work targets the previously underexplored intersection of </w:t>
      </w:r>
      <w:r w:rsidRPr="00BB683F">
        <w:rPr>
          <w:rFonts w:ascii="Times New Roman" w:eastAsia="DFKai-SB" w:hAnsi="Times New Roman" w:cs="Times New Roman"/>
          <w:b/>
          <w:bCs/>
          <w:sz w:val="20"/>
          <w:szCs w:val="20"/>
        </w:rPr>
        <w:t>heterogeneous GPUs, disaggregated inference, and latency-aware KV scheduling.</w:t>
      </w:r>
    </w:p>
    <w:p w14:paraId="2C0544F6" w14:textId="77777777" w:rsidR="00BB683F" w:rsidRPr="00BB683F" w:rsidRDefault="00BB683F" w:rsidP="00BB683F">
      <w:pPr>
        <w:spacing w:after="0"/>
        <w:rPr>
          <w:rFonts w:ascii="Times New Roman" w:eastAsia="DFKai-SB" w:hAnsi="Times New Roman" w:cs="Times New Roman"/>
          <w:sz w:val="20"/>
          <w:szCs w:val="20"/>
        </w:rPr>
      </w:pPr>
      <w:r w:rsidRPr="00BB683F">
        <w:rPr>
          <w:rFonts w:ascii="Times New Roman" w:eastAsia="DFKai-SB" w:hAnsi="Times New Roman" w:cs="Times New Roman"/>
          <w:sz w:val="20"/>
          <w:szCs w:val="20"/>
        </w:rPr>
        <w:pict w14:anchorId="5675DE65">
          <v:rect id="_x0000_i1043" style="width:0;height:1.5pt" o:hralign="center" o:hrstd="t" o:hr="t" fillcolor="#a0a0a0" stroked="f"/>
        </w:pict>
      </w:r>
    </w:p>
    <w:p w14:paraId="613351A7" w14:textId="77777777" w:rsidR="00BB683F" w:rsidRPr="00BB683F" w:rsidRDefault="00BB683F" w:rsidP="00BB683F">
      <w:pPr>
        <w:spacing w:after="0"/>
        <w:rPr>
          <w:rFonts w:ascii="Times New Roman" w:eastAsia="DFKai-SB" w:hAnsi="Times New Roman" w:cs="Times New Roman"/>
          <w:b/>
          <w:bCs/>
          <w:sz w:val="20"/>
          <w:szCs w:val="20"/>
        </w:rPr>
      </w:pPr>
      <w:r w:rsidRPr="00BB683F">
        <w:rPr>
          <w:rFonts w:ascii="Times New Roman" w:eastAsia="DFKai-SB" w:hAnsi="Times New Roman" w:cs="Times New Roman"/>
          <w:b/>
          <w:bCs/>
          <w:sz w:val="20"/>
          <w:szCs w:val="20"/>
        </w:rPr>
        <w:t>圖的兩個座標軸（文字說明）</w:t>
      </w:r>
    </w:p>
    <w:p w14:paraId="08D06E08" w14:textId="77777777" w:rsidR="00BB683F" w:rsidRPr="00BB683F" w:rsidRDefault="00BB683F" w:rsidP="00BB683F">
      <w:pPr>
        <w:numPr>
          <w:ilvl w:val="0"/>
          <w:numId w:val="1"/>
        </w:numPr>
        <w:spacing w:after="0"/>
        <w:rPr>
          <w:rFonts w:ascii="Times New Roman" w:eastAsia="DFKai-SB" w:hAnsi="Times New Roman" w:cs="Times New Roman"/>
          <w:sz w:val="20"/>
          <w:szCs w:val="20"/>
        </w:rPr>
      </w:pPr>
      <w:r w:rsidRPr="00BB683F">
        <w:rPr>
          <w:rFonts w:ascii="Times New Roman" w:eastAsia="DFKai-SB" w:hAnsi="Times New Roman" w:cs="Times New Roman"/>
          <w:b/>
          <w:bCs/>
          <w:sz w:val="20"/>
          <w:szCs w:val="20"/>
        </w:rPr>
        <w:t>X-axis: Resource &amp; Network Awareness</w:t>
      </w:r>
      <w:r w:rsidRPr="00BB683F">
        <w:rPr>
          <w:rFonts w:ascii="Times New Roman" w:eastAsia="DFKai-SB" w:hAnsi="Times New Roman" w:cs="Times New Roman"/>
          <w:sz w:val="20"/>
          <w:szCs w:val="20"/>
        </w:rPr>
        <w:br/>
        <w:t>From homogeneous GPU assumptions to explicit modeling of heterogeneous GPU latency and network costs.</w:t>
      </w:r>
    </w:p>
    <w:p w14:paraId="3F19CDC5" w14:textId="77777777" w:rsidR="00BB683F" w:rsidRPr="00BB683F" w:rsidRDefault="00BB683F" w:rsidP="00BB683F">
      <w:pPr>
        <w:numPr>
          <w:ilvl w:val="0"/>
          <w:numId w:val="1"/>
        </w:numPr>
        <w:spacing w:after="0"/>
        <w:rPr>
          <w:rFonts w:ascii="Times New Roman" w:eastAsia="DFKai-SB" w:hAnsi="Times New Roman" w:cs="Times New Roman"/>
          <w:sz w:val="20"/>
          <w:szCs w:val="20"/>
        </w:rPr>
      </w:pPr>
      <w:r w:rsidRPr="00BB683F">
        <w:rPr>
          <w:rFonts w:ascii="Times New Roman" w:eastAsia="DFKai-SB" w:hAnsi="Times New Roman" w:cs="Times New Roman"/>
          <w:b/>
          <w:bCs/>
          <w:sz w:val="20"/>
          <w:szCs w:val="20"/>
        </w:rPr>
        <w:t>Y-axis: KV-aware Scheduling Depth</w:t>
      </w:r>
      <w:r w:rsidRPr="00BB683F">
        <w:rPr>
          <w:rFonts w:ascii="Times New Roman" w:eastAsia="DFKai-SB" w:hAnsi="Times New Roman" w:cs="Times New Roman"/>
          <w:sz w:val="20"/>
          <w:szCs w:val="20"/>
        </w:rPr>
        <w:br/>
      </w:r>
      <w:proofErr w:type="gramStart"/>
      <w:r w:rsidRPr="00BB683F">
        <w:rPr>
          <w:rFonts w:ascii="Times New Roman" w:eastAsia="DFKai-SB" w:hAnsi="Times New Roman" w:cs="Times New Roman"/>
          <w:sz w:val="20"/>
          <w:szCs w:val="20"/>
        </w:rPr>
        <w:t>From no KV awareness,</w:t>
      </w:r>
      <w:proofErr w:type="gramEnd"/>
      <w:r w:rsidRPr="00BB683F">
        <w:rPr>
          <w:rFonts w:ascii="Times New Roman" w:eastAsia="DFKai-SB" w:hAnsi="Times New Roman" w:cs="Times New Roman"/>
          <w:sz w:val="20"/>
          <w:szCs w:val="20"/>
        </w:rPr>
        <w:t xml:space="preserve"> to basic KV locality heuristics, to explicit modeling of KV ownership, migration cost, and stability mechanisms (e.g., hysteresis and prefetch overlap).</w:t>
      </w:r>
    </w:p>
    <w:p w14:paraId="5BF7E67E" w14:textId="77777777" w:rsidR="00BB683F" w:rsidRPr="00BB683F" w:rsidRDefault="00BB683F" w:rsidP="00BB683F">
      <w:pPr>
        <w:spacing w:after="0"/>
        <w:rPr>
          <w:rFonts w:ascii="Times New Roman" w:eastAsia="DFKai-SB" w:hAnsi="Times New Roman" w:cs="Times New Roman"/>
          <w:sz w:val="20"/>
          <w:szCs w:val="20"/>
        </w:rPr>
      </w:pPr>
      <w:r w:rsidRPr="00BB683F">
        <w:rPr>
          <w:rFonts w:ascii="Times New Roman" w:eastAsia="DFKai-SB" w:hAnsi="Times New Roman" w:cs="Times New Roman"/>
          <w:sz w:val="20"/>
          <w:szCs w:val="20"/>
        </w:rPr>
        <w:pict w14:anchorId="02E1AE4C">
          <v:rect id="_x0000_i1044" style="width:0;height:1.5pt" o:hralign="center" o:hrstd="t" o:hr="t" fillcolor="#a0a0a0" stroked="f"/>
        </w:pict>
      </w:r>
    </w:p>
    <w:p w14:paraId="50524724" w14:textId="77777777" w:rsidR="00BB683F" w:rsidRPr="00BB683F" w:rsidRDefault="00BB683F" w:rsidP="00BB683F">
      <w:pPr>
        <w:spacing w:after="0"/>
        <w:rPr>
          <w:rFonts w:ascii="Times New Roman" w:eastAsia="DFKai-SB" w:hAnsi="Times New Roman" w:cs="Times New Roman"/>
          <w:b/>
          <w:bCs/>
          <w:sz w:val="20"/>
          <w:szCs w:val="20"/>
        </w:rPr>
      </w:pPr>
      <w:r w:rsidRPr="00BB683F">
        <w:rPr>
          <w:rFonts w:ascii="Times New Roman" w:eastAsia="DFKai-SB" w:hAnsi="Times New Roman" w:cs="Times New Roman"/>
          <w:b/>
          <w:bCs/>
          <w:sz w:val="20"/>
          <w:szCs w:val="20"/>
        </w:rPr>
        <w:t>系統定位說明（可對照圖中點位）</w:t>
      </w:r>
    </w:p>
    <w:p w14:paraId="7F8001F9" w14:textId="77777777" w:rsidR="00BB683F" w:rsidRPr="00BB683F" w:rsidRDefault="00BB683F" w:rsidP="00BB683F">
      <w:pPr>
        <w:numPr>
          <w:ilvl w:val="0"/>
          <w:numId w:val="2"/>
        </w:numPr>
        <w:spacing w:after="0"/>
        <w:rPr>
          <w:rFonts w:ascii="Times New Roman" w:eastAsia="DFKai-SB" w:hAnsi="Times New Roman" w:cs="Times New Roman"/>
          <w:sz w:val="20"/>
          <w:szCs w:val="20"/>
        </w:rPr>
      </w:pPr>
      <w:r w:rsidRPr="00BB683F">
        <w:rPr>
          <w:rFonts w:ascii="Times New Roman" w:eastAsia="DFKai-SB" w:hAnsi="Times New Roman" w:cs="Times New Roman"/>
          <w:b/>
          <w:bCs/>
          <w:sz w:val="20"/>
          <w:szCs w:val="20"/>
        </w:rPr>
        <w:t>Dynamo</w:t>
      </w:r>
      <w:r w:rsidRPr="00BB683F">
        <w:rPr>
          <w:rFonts w:ascii="Times New Roman" w:eastAsia="DFKai-SB" w:hAnsi="Times New Roman" w:cs="Times New Roman"/>
          <w:sz w:val="20"/>
          <w:szCs w:val="20"/>
        </w:rPr>
        <w:t xml:space="preserve"> is positioned low on the KV-awareness axis and assumes that resource heterogeneity is handled externally. It primarily optimizes execution efficiency within individual GPUs and does not reason </w:t>
      </w:r>
      <w:proofErr w:type="gramStart"/>
      <w:r w:rsidRPr="00BB683F">
        <w:rPr>
          <w:rFonts w:ascii="Times New Roman" w:eastAsia="DFKai-SB" w:hAnsi="Times New Roman" w:cs="Times New Roman"/>
          <w:sz w:val="20"/>
          <w:szCs w:val="20"/>
        </w:rPr>
        <w:t>about</w:t>
      </w:r>
      <w:proofErr w:type="gramEnd"/>
      <w:r w:rsidRPr="00BB683F">
        <w:rPr>
          <w:rFonts w:ascii="Times New Roman" w:eastAsia="DFKai-SB" w:hAnsi="Times New Roman" w:cs="Times New Roman"/>
          <w:sz w:val="20"/>
          <w:szCs w:val="20"/>
        </w:rPr>
        <w:t xml:space="preserve"> KV placement or migration across nodes.</w:t>
      </w:r>
    </w:p>
    <w:p w14:paraId="6CD89BC0" w14:textId="77777777" w:rsidR="00BB683F" w:rsidRPr="00BB683F" w:rsidRDefault="00BB683F" w:rsidP="00BB683F">
      <w:pPr>
        <w:numPr>
          <w:ilvl w:val="0"/>
          <w:numId w:val="2"/>
        </w:numPr>
        <w:spacing w:after="0"/>
        <w:rPr>
          <w:rFonts w:ascii="Times New Roman" w:eastAsia="DFKai-SB" w:hAnsi="Times New Roman" w:cs="Times New Roman"/>
          <w:sz w:val="20"/>
          <w:szCs w:val="20"/>
        </w:rPr>
      </w:pPr>
      <w:proofErr w:type="spellStart"/>
      <w:r w:rsidRPr="00BB683F">
        <w:rPr>
          <w:rFonts w:ascii="Times New Roman" w:eastAsia="DFKai-SB" w:hAnsi="Times New Roman" w:cs="Times New Roman"/>
          <w:b/>
          <w:bCs/>
          <w:sz w:val="20"/>
          <w:szCs w:val="20"/>
        </w:rPr>
        <w:t>vLLM</w:t>
      </w:r>
      <w:proofErr w:type="spellEnd"/>
      <w:r w:rsidRPr="00BB683F">
        <w:rPr>
          <w:rFonts w:ascii="Times New Roman" w:eastAsia="DFKai-SB" w:hAnsi="Times New Roman" w:cs="Times New Roman"/>
          <w:sz w:val="20"/>
          <w:szCs w:val="20"/>
        </w:rPr>
        <w:t xml:space="preserve"> improves memory efficiency and batching within a single node or homogeneous GPU </w:t>
      </w:r>
      <w:proofErr w:type="gramStart"/>
      <w:r w:rsidRPr="00BB683F">
        <w:rPr>
          <w:rFonts w:ascii="Times New Roman" w:eastAsia="DFKai-SB" w:hAnsi="Times New Roman" w:cs="Times New Roman"/>
          <w:sz w:val="20"/>
          <w:szCs w:val="20"/>
        </w:rPr>
        <w:t>pool, but</w:t>
      </w:r>
      <w:proofErr w:type="gramEnd"/>
      <w:r w:rsidRPr="00BB683F">
        <w:rPr>
          <w:rFonts w:ascii="Times New Roman" w:eastAsia="DFKai-SB" w:hAnsi="Times New Roman" w:cs="Times New Roman"/>
          <w:sz w:val="20"/>
          <w:szCs w:val="20"/>
        </w:rPr>
        <w:t xml:space="preserve"> does not address cross-node KV routing or heterogeneous latency, placing it moderately on the KV-awareness axis but low on heterogeneity awareness.</w:t>
      </w:r>
    </w:p>
    <w:p w14:paraId="4CDBFCFA" w14:textId="77777777" w:rsidR="00BB683F" w:rsidRPr="00BB683F" w:rsidRDefault="00BB683F" w:rsidP="00BB683F">
      <w:pPr>
        <w:numPr>
          <w:ilvl w:val="0"/>
          <w:numId w:val="2"/>
        </w:numPr>
        <w:spacing w:after="0"/>
        <w:rPr>
          <w:rFonts w:ascii="Times New Roman" w:eastAsia="DFKai-SB" w:hAnsi="Times New Roman" w:cs="Times New Roman"/>
          <w:sz w:val="20"/>
          <w:szCs w:val="20"/>
        </w:rPr>
      </w:pPr>
      <w:proofErr w:type="spellStart"/>
      <w:r w:rsidRPr="00BB683F">
        <w:rPr>
          <w:rFonts w:ascii="Times New Roman" w:eastAsia="DFKai-SB" w:hAnsi="Times New Roman" w:cs="Times New Roman"/>
          <w:b/>
          <w:bCs/>
          <w:sz w:val="20"/>
          <w:szCs w:val="20"/>
        </w:rPr>
        <w:t>DistServe</w:t>
      </w:r>
      <w:proofErr w:type="spellEnd"/>
      <w:r w:rsidRPr="00BB683F">
        <w:rPr>
          <w:rFonts w:ascii="Times New Roman" w:eastAsia="DFKai-SB" w:hAnsi="Times New Roman" w:cs="Times New Roman"/>
          <w:sz w:val="20"/>
          <w:szCs w:val="20"/>
        </w:rPr>
        <w:t xml:space="preserve"> explicitly introduces Prefill/Decode disaggregation and acknowledges KV movement, positioning it higher on KV-awareness. However, its scheduling decisions are tightly coupled to system design and assume relatively homogeneous decode performance.</w:t>
      </w:r>
    </w:p>
    <w:p w14:paraId="2E84CFC6" w14:textId="77777777" w:rsidR="00BB683F" w:rsidRPr="00BB683F" w:rsidRDefault="00BB683F" w:rsidP="00BB683F">
      <w:pPr>
        <w:numPr>
          <w:ilvl w:val="0"/>
          <w:numId w:val="2"/>
        </w:numPr>
        <w:spacing w:after="0"/>
        <w:rPr>
          <w:rFonts w:ascii="Times New Roman" w:eastAsia="DFKai-SB" w:hAnsi="Times New Roman" w:cs="Times New Roman"/>
          <w:sz w:val="20"/>
          <w:szCs w:val="20"/>
        </w:rPr>
      </w:pPr>
      <w:r w:rsidRPr="00BB683F">
        <w:rPr>
          <w:rFonts w:ascii="Times New Roman" w:eastAsia="DFKai-SB" w:hAnsi="Times New Roman" w:cs="Times New Roman"/>
          <w:b/>
          <w:bCs/>
          <w:sz w:val="20"/>
          <w:szCs w:val="20"/>
        </w:rPr>
        <w:t>Parallax</w:t>
      </w:r>
      <w:r w:rsidRPr="00BB683F">
        <w:rPr>
          <w:rFonts w:ascii="Times New Roman" w:eastAsia="DFKai-SB" w:hAnsi="Times New Roman" w:cs="Times New Roman"/>
          <w:sz w:val="20"/>
          <w:szCs w:val="20"/>
        </w:rPr>
        <w:t xml:space="preserve"> incorporates KV reuse and history-aware routing to improve </w:t>
      </w:r>
      <w:proofErr w:type="gramStart"/>
      <w:r w:rsidRPr="00BB683F">
        <w:rPr>
          <w:rFonts w:ascii="Times New Roman" w:eastAsia="DFKai-SB" w:hAnsi="Times New Roman" w:cs="Times New Roman"/>
          <w:sz w:val="20"/>
          <w:szCs w:val="20"/>
        </w:rPr>
        <w:t>throughput, but</w:t>
      </w:r>
      <w:proofErr w:type="gramEnd"/>
      <w:r w:rsidRPr="00BB683F">
        <w:rPr>
          <w:rFonts w:ascii="Times New Roman" w:eastAsia="DFKai-SB" w:hAnsi="Times New Roman" w:cs="Times New Roman"/>
          <w:sz w:val="20"/>
          <w:szCs w:val="20"/>
        </w:rPr>
        <w:t xml:space="preserve"> focuses on average performance and lacks explicit modeling of tail latency, stability, or heterogeneous resource behavior.</w:t>
      </w:r>
    </w:p>
    <w:p w14:paraId="3823A750" w14:textId="77777777" w:rsidR="00BB683F" w:rsidRPr="00BB683F" w:rsidRDefault="00BB683F" w:rsidP="00BB683F">
      <w:pPr>
        <w:numPr>
          <w:ilvl w:val="0"/>
          <w:numId w:val="2"/>
        </w:numPr>
        <w:spacing w:after="0"/>
        <w:rPr>
          <w:rFonts w:ascii="Times New Roman" w:eastAsia="DFKai-SB" w:hAnsi="Times New Roman" w:cs="Times New Roman"/>
          <w:sz w:val="20"/>
          <w:szCs w:val="20"/>
        </w:rPr>
      </w:pPr>
      <w:r w:rsidRPr="00BB683F">
        <w:rPr>
          <w:rFonts w:ascii="Times New Roman" w:eastAsia="DFKai-SB" w:hAnsi="Times New Roman" w:cs="Times New Roman"/>
          <w:b/>
          <w:bCs/>
          <w:sz w:val="20"/>
          <w:szCs w:val="20"/>
        </w:rPr>
        <w:t>This work</w:t>
      </w:r>
      <w:r w:rsidRPr="00BB683F">
        <w:rPr>
          <w:rFonts w:ascii="Times New Roman" w:eastAsia="DFKai-SB" w:hAnsi="Times New Roman" w:cs="Times New Roman"/>
          <w:sz w:val="20"/>
          <w:szCs w:val="20"/>
        </w:rPr>
        <w:t xml:space="preserve"> occupies the upper-right region of the design space by </w:t>
      </w:r>
      <w:r w:rsidRPr="00BB683F">
        <w:rPr>
          <w:rFonts w:ascii="Times New Roman" w:eastAsia="DFKai-SB" w:hAnsi="Times New Roman" w:cs="Times New Roman"/>
          <w:b/>
          <w:bCs/>
          <w:sz w:val="20"/>
          <w:szCs w:val="20"/>
        </w:rPr>
        <w:t>treating KV-aware scheduling as a first-class problem</w:t>
      </w:r>
      <w:r w:rsidRPr="00BB683F">
        <w:rPr>
          <w:rFonts w:ascii="Times New Roman" w:eastAsia="DFKai-SB" w:hAnsi="Times New Roman" w:cs="Times New Roman"/>
          <w:sz w:val="20"/>
          <w:szCs w:val="20"/>
        </w:rPr>
        <w:t xml:space="preserve"> and explicitly modeling compute latency, KV migration cost, and network conditions under heterogeneous GPUs. We further incorporate stability controls such as hysteresis and prefetch horizon to balance responsiveness and overhead, enabling robust tail-latency control in dynamic, disaggregated environments.</w:t>
      </w:r>
    </w:p>
    <w:p w14:paraId="4AD66D5F" w14:textId="77777777" w:rsidR="00BB683F" w:rsidRPr="00BB683F" w:rsidRDefault="00BB683F" w:rsidP="00BB683F">
      <w:pPr>
        <w:spacing w:after="0"/>
        <w:rPr>
          <w:rFonts w:ascii="Times New Roman" w:eastAsia="DFKai-SB" w:hAnsi="Times New Roman" w:cs="Times New Roman"/>
          <w:sz w:val="20"/>
          <w:szCs w:val="20"/>
        </w:rPr>
      </w:pPr>
      <w:r w:rsidRPr="00BB683F">
        <w:rPr>
          <w:rFonts w:ascii="Times New Roman" w:eastAsia="DFKai-SB" w:hAnsi="Times New Roman" w:cs="Times New Roman"/>
          <w:sz w:val="20"/>
          <w:szCs w:val="20"/>
        </w:rPr>
        <w:pict w14:anchorId="26E858C7">
          <v:rect id="_x0000_i1045" style="width:0;height:1.5pt" o:hralign="center" o:hrstd="t" o:hr="t" fillcolor="#a0a0a0" stroked="f"/>
        </w:pict>
      </w:r>
    </w:p>
    <w:p w14:paraId="1F2EB007" w14:textId="77777777" w:rsidR="00BB683F" w:rsidRPr="00BB683F" w:rsidRDefault="00BB683F" w:rsidP="00BB683F">
      <w:pPr>
        <w:spacing w:after="0"/>
        <w:rPr>
          <w:rFonts w:ascii="Times New Roman" w:eastAsia="DFKai-SB" w:hAnsi="Times New Roman" w:cs="Times New Roman"/>
          <w:b/>
          <w:bCs/>
          <w:sz w:val="20"/>
          <w:szCs w:val="20"/>
        </w:rPr>
      </w:pPr>
      <w:r w:rsidRPr="00BB683F">
        <w:rPr>
          <w:rFonts w:ascii="Times New Roman" w:eastAsia="DFKai-SB" w:hAnsi="Times New Roman" w:cs="Times New Roman"/>
          <w:b/>
          <w:bCs/>
          <w:sz w:val="20"/>
          <w:szCs w:val="20"/>
        </w:rPr>
        <w:t xml:space="preserve">Reviewer </w:t>
      </w:r>
      <w:r w:rsidRPr="00BB683F">
        <w:rPr>
          <w:rFonts w:ascii="Times New Roman" w:eastAsia="DFKai-SB" w:hAnsi="Times New Roman" w:cs="Times New Roman"/>
          <w:b/>
          <w:bCs/>
          <w:sz w:val="20"/>
          <w:szCs w:val="20"/>
        </w:rPr>
        <w:t>會買單的總結句（圖說結尾）</w:t>
      </w:r>
    </w:p>
    <w:p w14:paraId="5D23C034" w14:textId="77777777" w:rsidR="00BB683F" w:rsidRPr="00BB683F" w:rsidRDefault="00BB683F" w:rsidP="00BB683F">
      <w:pPr>
        <w:spacing w:after="0"/>
        <w:rPr>
          <w:rFonts w:ascii="Times New Roman" w:eastAsia="DFKai-SB" w:hAnsi="Times New Roman" w:cs="Times New Roman"/>
          <w:sz w:val="20"/>
          <w:szCs w:val="20"/>
        </w:rPr>
      </w:pPr>
      <w:r w:rsidRPr="00BB683F">
        <w:rPr>
          <w:rFonts w:ascii="Times New Roman" w:eastAsia="DFKai-SB" w:hAnsi="Times New Roman" w:cs="Times New Roman"/>
          <w:b/>
          <w:bCs/>
          <w:sz w:val="20"/>
          <w:szCs w:val="20"/>
        </w:rPr>
        <w:t>The figure illustrates that prior systems optimize isolated dimensions of LLM inference, whereas our work systematically explores the intersection of heterogeneity-aware scheduling and KV-aware routing, a design point critical for controlling tail latency in modern, disaggregated inference deployments.</w:t>
      </w:r>
    </w:p>
    <w:p w14:paraId="6C354C45" w14:textId="77777777" w:rsidR="0007736D" w:rsidRPr="00BB683F" w:rsidRDefault="0007736D" w:rsidP="00BB683F">
      <w:pPr>
        <w:spacing w:after="0"/>
        <w:rPr>
          <w:rFonts w:ascii="Times New Roman" w:eastAsia="DFKai-SB" w:hAnsi="Times New Roman" w:cs="Times New Roman"/>
          <w:sz w:val="20"/>
          <w:szCs w:val="20"/>
        </w:rPr>
      </w:pPr>
    </w:p>
    <w:sectPr w:rsidR="0007736D" w:rsidRPr="00BB683F" w:rsidSect="00BB683F">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C5AD8" w14:textId="77777777" w:rsidR="0048381E" w:rsidRDefault="0048381E" w:rsidP="00BB683F">
      <w:pPr>
        <w:spacing w:after="0" w:line="240" w:lineRule="auto"/>
      </w:pPr>
      <w:r>
        <w:separator/>
      </w:r>
    </w:p>
  </w:endnote>
  <w:endnote w:type="continuationSeparator" w:id="0">
    <w:p w14:paraId="616DF611" w14:textId="77777777" w:rsidR="0048381E" w:rsidRDefault="0048381E" w:rsidP="00BB68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DFKai-SB">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E3F51" w14:textId="77777777" w:rsidR="0048381E" w:rsidRDefault="0048381E" w:rsidP="00BB683F">
      <w:pPr>
        <w:spacing w:after="0" w:line="240" w:lineRule="auto"/>
      </w:pPr>
      <w:r>
        <w:separator/>
      </w:r>
    </w:p>
  </w:footnote>
  <w:footnote w:type="continuationSeparator" w:id="0">
    <w:p w14:paraId="04756253" w14:textId="77777777" w:rsidR="0048381E" w:rsidRDefault="0048381E" w:rsidP="00BB68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350BB"/>
    <w:multiLevelType w:val="multilevel"/>
    <w:tmpl w:val="A0C2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0C083B"/>
    <w:multiLevelType w:val="multilevel"/>
    <w:tmpl w:val="E1B8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247275">
    <w:abstractNumId w:val="1"/>
  </w:num>
  <w:num w:numId="2" w16cid:durableId="1062757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36D"/>
    <w:rsid w:val="0007736D"/>
    <w:rsid w:val="0048381E"/>
    <w:rsid w:val="00607D96"/>
    <w:rsid w:val="00BB683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9C550645-32BB-4BA4-AD0F-D54B1F256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3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73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73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73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3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3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3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3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3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3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73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73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73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73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7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36D"/>
    <w:rPr>
      <w:rFonts w:eastAsiaTheme="majorEastAsia" w:cstheme="majorBidi"/>
      <w:color w:val="272727" w:themeColor="text1" w:themeTint="D8"/>
    </w:rPr>
  </w:style>
  <w:style w:type="paragraph" w:styleId="Title">
    <w:name w:val="Title"/>
    <w:basedOn w:val="Normal"/>
    <w:next w:val="Normal"/>
    <w:link w:val="TitleChar"/>
    <w:uiPriority w:val="10"/>
    <w:qFormat/>
    <w:rsid w:val="00077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3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36D"/>
    <w:pPr>
      <w:spacing w:before="160"/>
      <w:jc w:val="center"/>
    </w:pPr>
    <w:rPr>
      <w:i/>
      <w:iCs/>
      <w:color w:val="404040" w:themeColor="text1" w:themeTint="BF"/>
    </w:rPr>
  </w:style>
  <w:style w:type="character" w:customStyle="1" w:styleId="QuoteChar">
    <w:name w:val="Quote Char"/>
    <w:basedOn w:val="DefaultParagraphFont"/>
    <w:link w:val="Quote"/>
    <w:uiPriority w:val="29"/>
    <w:rsid w:val="0007736D"/>
    <w:rPr>
      <w:i/>
      <w:iCs/>
      <w:color w:val="404040" w:themeColor="text1" w:themeTint="BF"/>
    </w:rPr>
  </w:style>
  <w:style w:type="paragraph" w:styleId="ListParagraph">
    <w:name w:val="List Paragraph"/>
    <w:basedOn w:val="Normal"/>
    <w:uiPriority w:val="34"/>
    <w:qFormat/>
    <w:rsid w:val="0007736D"/>
    <w:pPr>
      <w:ind w:left="720"/>
      <w:contextualSpacing/>
    </w:pPr>
  </w:style>
  <w:style w:type="character" w:styleId="IntenseEmphasis">
    <w:name w:val="Intense Emphasis"/>
    <w:basedOn w:val="DefaultParagraphFont"/>
    <w:uiPriority w:val="21"/>
    <w:qFormat/>
    <w:rsid w:val="0007736D"/>
    <w:rPr>
      <w:i/>
      <w:iCs/>
      <w:color w:val="0F4761" w:themeColor="accent1" w:themeShade="BF"/>
    </w:rPr>
  </w:style>
  <w:style w:type="paragraph" w:styleId="IntenseQuote">
    <w:name w:val="Intense Quote"/>
    <w:basedOn w:val="Normal"/>
    <w:next w:val="Normal"/>
    <w:link w:val="IntenseQuoteChar"/>
    <w:uiPriority w:val="30"/>
    <w:qFormat/>
    <w:rsid w:val="000773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36D"/>
    <w:rPr>
      <w:i/>
      <w:iCs/>
      <w:color w:val="0F4761" w:themeColor="accent1" w:themeShade="BF"/>
    </w:rPr>
  </w:style>
  <w:style w:type="character" w:styleId="IntenseReference">
    <w:name w:val="Intense Reference"/>
    <w:basedOn w:val="DefaultParagraphFont"/>
    <w:uiPriority w:val="32"/>
    <w:qFormat/>
    <w:rsid w:val="0007736D"/>
    <w:rPr>
      <w:b/>
      <w:bCs/>
      <w:smallCaps/>
      <w:color w:val="0F4761" w:themeColor="accent1" w:themeShade="BF"/>
      <w:spacing w:val="5"/>
    </w:rPr>
  </w:style>
  <w:style w:type="paragraph" w:styleId="Header">
    <w:name w:val="header"/>
    <w:basedOn w:val="Normal"/>
    <w:link w:val="HeaderChar"/>
    <w:uiPriority w:val="99"/>
    <w:unhideWhenUsed/>
    <w:rsid w:val="00BB68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683F"/>
  </w:style>
  <w:style w:type="paragraph" w:styleId="Footer">
    <w:name w:val="footer"/>
    <w:basedOn w:val="Normal"/>
    <w:link w:val="FooterChar"/>
    <w:uiPriority w:val="99"/>
    <w:unhideWhenUsed/>
    <w:rsid w:val="00BB68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68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914</Words>
  <Characters>1655</Characters>
  <Application>Microsoft Office Word</Application>
  <DocSecurity>0</DocSecurity>
  <Lines>103</Lines>
  <Paragraphs>135</Paragraphs>
  <ScaleCrop>false</ScaleCrop>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張哲唯</dc:creator>
  <cp:keywords/>
  <dc:description/>
  <cp:lastModifiedBy>張哲唯</cp:lastModifiedBy>
  <cp:revision>2</cp:revision>
  <dcterms:created xsi:type="dcterms:W3CDTF">2026-01-12T23:45:00Z</dcterms:created>
  <dcterms:modified xsi:type="dcterms:W3CDTF">2026-01-12T23:46:00Z</dcterms:modified>
</cp:coreProperties>
</file>