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58"/>
          <w:szCs w:val="58"/>
        </w:rPr>
      </w:pPr>
      <w:r w:rsidDel="00000000" w:rsidR="00000000" w:rsidRPr="00000000">
        <w:rPr>
          <w:rFonts w:ascii="Times New Roman" w:cs="Times New Roman" w:eastAsia="Times New Roman" w:hAnsi="Times New Roman"/>
          <w:sz w:val="58"/>
          <w:szCs w:val="58"/>
          <w:rtl w:val="0"/>
        </w:rPr>
        <w:t xml:space="preserve">Post-Purchase Agreement Request List</w:t>
      </w:r>
    </w:p>
    <w:p w:rsidR="00000000" w:rsidDel="00000000" w:rsidP="00000000" w:rsidRDefault="00000000" w:rsidRPr="00000000" w14:paraId="00000002">
      <w:pPr>
        <w:spacing w:after="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Legal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Has the seller or either entity been involved in any bankruptcy, foreclosure, or tax lien proceeding in the past 7 years?"</w:t>
      </w:r>
    </w:p>
    <w:p w:rsidR="00000000" w:rsidDel="00000000" w:rsidP="00000000" w:rsidRDefault="00000000" w:rsidRPr="00000000" w14:paraId="00000005">
      <w:pPr>
        <w:spacing w:after="40" w:before="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Accounting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Are there any outstanding accounts payable or accrued liabilities as of closing that the buyer would be assuming?</w:t>
      </w:r>
    </w:p>
    <w:p w:rsidR="00000000" w:rsidDel="00000000" w:rsidP="00000000" w:rsidRDefault="00000000" w:rsidRPr="00000000" w14:paraId="00000007">
      <w:pPr>
        <w:spacing w:after="40" w:before="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Operations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What is the coin-collection and cash-handling process for the laundromat itself — how often is this done and how is it reconciled and deposited?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Please describe the monthly rent collection process</w:t>
      </w:r>
    </w:p>
    <w:p w:rsidR="00000000" w:rsidDel="00000000" w:rsidP="00000000" w:rsidRDefault="00000000" w:rsidRPr="00000000" w14:paraId="0000000A">
      <w:pPr>
        <w:spacing w:after="40" w:before="2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before="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Customers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Executed copies of all 5 tenant leases with signed estoppel certificates</w:t>
      </w:r>
    </w:p>
    <w:p w:rsidR="00000000" w:rsidDel="00000000" w:rsidP="00000000" w:rsidRDefault="00000000" w:rsidRPr="00000000" w14:paraId="0000000D">
      <w:pPr>
        <w:spacing w:after="40" w:before="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Operations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Provide a list of online accounts we will need access to post-close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Provide a list of each recurring payment (water bill, electric bill, property manager bill, etc.) that will need to be transferred with Randy’s assistance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Insurance declaration pages for each active policy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List of keys, access codes, and alarm/security info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Service records for washers, dryers, HVAC, water heater, etc.</w:t>
      </w:r>
    </w:p>
    <w:p w:rsidR="00000000" w:rsidDel="00000000" w:rsidP="00000000" w:rsidRDefault="00000000" w:rsidRPr="00000000" w14:paraId="00000013">
      <w:pPr>
        <w:spacing w:after="40" w:before="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Tax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40" w:before="8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Show proof of drafting 2025 tax returns for both entities</w:t>
      </w:r>
    </w:p>
    <w:p w:rsidR="00000000" w:rsidDel="00000000" w:rsidP="00000000" w:rsidRDefault="00000000" w:rsidRPr="00000000" w14:paraId="00000015">
      <w:pPr>
        <w:spacing w:after="40" w:before="80" w:lineRule="auto"/>
        <w:rPr>
          <w:rFonts w:ascii="Times New Roman" w:cs="Times New Roman" w:eastAsia="Times New Roman" w:hAnsi="Times New Roman"/>
          <w:sz w:val="26"/>
          <w:szCs w:val="26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Legal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Upload a copy of Randy’s proof of ownership for the laundromat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Upload copies of any existing debt agreements for both entities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Upload copies of any other current legal contractors with customers, employees, contractors, vendors, service providers, clients, etc.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Provide prior property survey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Recorded satisfaction of mortgage once the SouthState loan is paid off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spacing w:line="156" w:lineRule="auto"/>
      <w:jc w:val="right"/>
      <w:rPr>
        <w:color w:val="98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spacing w:line="156" w:lineRule="auto"/>
      <w:jc w:val="right"/>
      <w:rPr>
        <w:color w:val="980000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spacing w:line="156" w:lineRule="auto"/>
      <w:jc w:val="right"/>
      <w:rPr>
        <w:color w:val="98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