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We want to allocate laundromat to assets</w:t>
      </w:r>
    </w:p>
    <w:p w:rsidR="00000000" w:rsidDel="00000000" w:rsidP="00000000" w:rsidRDefault="00000000" w:rsidRPr="00000000" w14:paraId="00000002">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Seller does not because the gain on the assets they sold isn’t taxed as capital gains</w:t>
      </w:r>
    </w:p>
    <w:p w:rsidR="00000000" w:rsidDel="00000000" w:rsidP="00000000" w:rsidRDefault="00000000" w:rsidRPr="00000000" w14:paraId="00000003">
      <w:pPr>
        <w:numPr>
          <w:ilvl w:val="1"/>
          <w:numId w:val="2"/>
        </w:numPr>
        <w:spacing w:after="240" w:before="0" w:beforeAutospacing="0" w:lineRule="auto"/>
        <w:ind w:left="1440" w:hanging="360"/>
        <w:rPr>
          <w:b w:val="1"/>
          <w:bCs w:val="1"/>
          <w:u w:val="none"/>
        </w:rPr>
      </w:pPr>
      <w:r w:rsidDel="00000000" w:rsidR="00000000" w:rsidRPr="00000000">
        <w:rPr>
          <w:b w:val="1"/>
          <w:bCs w:val="1"/>
          <w:rtl w:val="0"/>
        </w:rPr>
        <w:t xml:space="preserve">Would rather allocate to assets that give rise to capital gains like goodwill</w:t>
      </w:r>
    </w:p>
    <w:p w:rsidR="00000000" w:rsidDel="00000000" w:rsidP="00000000" w:rsidRDefault="00000000" w:rsidRPr="00000000" w14:paraId="0000000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5">
      <w:pPr>
        <w:spacing w:after="240" w:before="240" w:lineRule="auto"/>
        <w:ind w:left="0" w:firstLine="0"/>
        <w:rPr>
          <w:b w:val="1"/>
          <w:bCs w:val="1"/>
        </w:rPr>
      </w:pPr>
      <w:r w:rsidDel="00000000" w:rsidR="00000000" w:rsidRPr="00000000">
        <w:rPr>
          <w:b w:val="1"/>
          <w:bCs w:val="1"/>
          <w:rtl w:val="0"/>
        </w:rPr>
        <w:t xml:space="preserve">Next steps</w:t>
      </w:r>
    </w:p>
    <w:p w:rsidR="00000000" w:rsidDel="00000000" w:rsidP="00000000" w:rsidRDefault="00000000" w:rsidRPr="00000000" w14:paraId="00000006">
      <w:pPr>
        <w:numPr>
          <w:ilvl w:val="0"/>
          <w:numId w:val="1"/>
        </w:numPr>
        <w:spacing w:after="0" w:afterAutospacing="0" w:before="240" w:lineRule="auto"/>
        <w:ind w:left="720" w:hanging="360"/>
        <w:rPr>
          <w:b w:val="1"/>
          <w:bCs w:val="1"/>
          <w:u w:val="none"/>
        </w:rPr>
      </w:pPr>
      <w:r w:rsidDel="00000000" w:rsidR="00000000" w:rsidRPr="00000000">
        <w:rPr>
          <w:b w:val="1"/>
          <w:bCs w:val="1"/>
          <w:rtl w:val="0"/>
        </w:rPr>
        <w:t xml:space="preserve">Environmental survey </w:t>
      </w:r>
    </w:p>
    <w:p w:rsidR="00000000" w:rsidDel="00000000" w:rsidP="00000000" w:rsidRDefault="00000000" w:rsidRPr="00000000" w14:paraId="00000007">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Check sales and use</w:t>
      </w:r>
    </w:p>
    <w:p w:rsidR="00000000" w:rsidDel="00000000" w:rsidP="00000000" w:rsidRDefault="00000000" w:rsidRPr="00000000" w14:paraId="00000008">
      <w:pPr>
        <w:numPr>
          <w:ilvl w:val="0"/>
          <w:numId w:val="1"/>
        </w:numPr>
        <w:spacing w:after="240" w:before="0" w:beforeAutospacing="0" w:lineRule="auto"/>
        <w:ind w:left="720" w:hanging="360"/>
        <w:rPr>
          <w:b w:val="1"/>
          <w:bCs w:val="1"/>
          <w:u w:val="none"/>
        </w:rPr>
      </w:pPr>
      <w:r w:rsidDel="00000000" w:rsidR="00000000" w:rsidRPr="00000000">
        <w:rPr>
          <w:b w:val="1"/>
          <w:bCs w:val="1"/>
          <w:rtl w:val="0"/>
        </w:rPr>
        <w:t xml:space="preserve">Property tax title company checks</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Asset purchase vs. entity purchase</w:t>
        <w:br w:type="textWrapping"/>
      </w:r>
      <w:r w:rsidDel="00000000" w:rsidR="00000000" w:rsidRPr="00000000">
        <w:rPr>
          <w:rtl w:val="0"/>
        </w:rPr>
        <w:t xml:space="preserve"> This is the single biggest driver of tax outcome, and it can be different for the real estate side and the business side. Buying assets (the building, the equipment) usually gives you a stepped-up basis to work with going forward, which is generally better for you as buyer. Buying membership interests in the seller's LLC carries over the seller's existing basis and any embedded liabilities (including tax liabilities). Sellers often prefer entity sales for capital gains treatment on the whole sale price rather than ordinary income on parts of it. If you're using two separate purchase agreements (one for the real property, one for the business), this decision can differ between the two.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Purchase price allocation between real estate, equipment, and goodwill</w:t>
        <w:br w:type="textWrapping"/>
      </w:r>
      <w:r w:rsidDel="00000000" w:rsidR="00000000" w:rsidRPr="00000000">
        <w:rPr>
          <w:rtl w:val="0"/>
        </w:rPr>
        <w:t xml:space="preserve"> Once a price is agreed, it has to be allocated across categories (land, building, FF&amp;E/equipment, goodwill, non-compete) and reported to the IRS on Form 8594. This allocation directly drives your future depreciation schedule and the character of the seller's gain — so buyer and seller have opposing incentives here, and it's often actively negotiated rather than an afterthought. Get this locked into the PA language, not left to be sorted out after closing.</w:t>
      </w:r>
    </w:p>
    <w:p w:rsidR="00000000" w:rsidDel="00000000" w:rsidP="00000000" w:rsidRDefault="00000000" w:rsidRPr="00000000" w14:paraId="0000000C">
      <w:pPr>
        <w:spacing w:after="240" w:before="240" w:lineRule="auto"/>
        <w:rPr>
          <w:color w:val="1155cc"/>
          <w:u w:val="single"/>
        </w:rPr>
      </w:pPr>
      <w:r w:rsidDel="00000000" w:rsidR="00000000" w:rsidRPr="00000000">
        <w:rPr>
          <w:b w:val="1"/>
          <w:bCs w:val="1"/>
          <w:rtl w:val="0"/>
        </w:rPr>
        <w:t xml:space="preserve">3. Cost segregation study + bonus depreciation</w:t>
        <w:br w:type="textWrapping"/>
      </w:r>
      <w:r w:rsidDel="00000000" w:rsidR="00000000" w:rsidRPr="00000000">
        <w:rPr>
          <w:rtl w:val="0"/>
        </w:rPr>
        <w:t xml:space="preserve"> This is worth flagging specifically because the rules changed recently: the OBBBA permanently reinstated 100% bonus depreciation for most qualified property acquired after Jan. 19, 2025, covering tangible property with a class life of 20 years or less. The laundry equipment itself typically qualifies outright. The building shell doesn't (commercial real property still depreciates over 39 years straight-line), but a cost segregation study can carve out shorter-life components of the building — electrical, plumbing, fixtures, site improvements — that </w:t>
      </w:r>
      <w:r w:rsidDel="00000000" w:rsidR="00000000" w:rsidRPr="00000000">
        <w:rPr>
          <w:i w:val="1"/>
          <w:iCs w:val="1"/>
          <w:rtl w:val="0"/>
        </w:rPr>
        <w:t xml:space="preserve">do</w:t>
      </w:r>
      <w:r w:rsidDel="00000000" w:rsidR="00000000" w:rsidRPr="00000000">
        <w:rPr>
          <w:rtl w:val="0"/>
        </w:rPr>
        <w:t xml:space="preserve"> qualify for the 100% bonus rate. On a deal with both a building and equipment-heavy operating business, a cost seg study is usually worth the fee.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RSM US</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4. Sales tax exposure and successor liability</w:t>
        <w:br w:type="textWrapping"/>
      </w:r>
      <w:r w:rsidDel="00000000" w:rsidR="00000000" w:rsidRPr="00000000">
        <w:rPr>
          <w:rtl w:val="0"/>
        </w:rPr>
        <w:t xml:space="preserve"> If you're buying the laundromat's assets, ask specifically about Florida's bulk-sale/successor liability rules — as a buyer of a business's assets, you can be held liable for the seller's unpaid sales tax unless you get a tax clearance letter from the Florida Department of Revenue before closing. This should be a closing condition, not a nice-to-have.</w:t>
      </w:r>
    </w:p>
    <w:p w:rsidR="00000000" w:rsidDel="00000000" w:rsidP="00000000" w:rsidRDefault="00000000" w:rsidRPr="00000000" w14:paraId="0000000E">
      <w:pPr>
        <w:spacing w:after="240" w:before="240" w:lineRule="auto"/>
        <w:rPr>
          <w:color w:val="1155cc"/>
          <w:u w:val="single"/>
        </w:rPr>
      </w:pPr>
      <w:r w:rsidDel="00000000" w:rsidR="00000000" w:rsidRPr="00000000">
        <w:rPr>
          <w:b w:val="1"/>
          <w:bCs w:val="1"/>
          <w:rtl w:val="0"/>
        </w:rPr>
        <w:t xml:space="preserve">5. Documentary stamp tax and intangible tax on the real estate side</w:t>
        <w:br w:type="textWrapping"/>
      </w:r>
      <w:r w:rsidDel="00000000" w:rsidR="00000000" w:rsidRPr="00000000">
        <w:rPr>
          <w:rtl w:val="0"/>
        </w:rPr>
        <w:t xml:space="preserve"> Florida-specific transfer taxes that affect closing costs: documentary stamp tax on the deed is $0.70 per $100 of consideration (no cap), stamp tax on any new mortgage/note is $0.35 per $100 of the amount secured, and nonrecurring intangible tax on a new mortgage is 0.2% of the loan amount. Santa Rosa County uses the standard statewide rates (Miami-Dade is the only exception). Confirm who's contractually responsible for these — it's negotiable and should be spelled out in the PA.</w:t>
      </w:r>
      <w:hyperlink r:id="rId8">
        <w:r w:rsidDel="00000000" w:rsidR="00000000" w:rsidRPr="00000000">
          <w:rPr>
            <w:rtl w:val="0"/>
          </w:rPr>
          <w:t xml:space="preserve"> </w:t>
        </w:r>
      </w:hyperlink>
      <w:hyperlink r:id="rId9">
        <w:r w:rsidDel="00000000" w:rsidR="00000000" w:rsidRPr="00000000">
          <w:rPr>
            <w:color w:val="1155cc"/>
            <w:u w:val="single"/>
            <w:rtl w:val="0"/>
          </w:rPr>
          <w:t xml:space="preserve">Passfloridarealestate + 2</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6. Property tax reassessment after the transfer</w:t>
        <w:br w:type="textWrapping"/>
      </w:r>
      <w:r w:rsidDel="00000000" w:rsidR="00000000" w:rsidRPr="00000000">
        <w:rPr>
          <w:rtl w:val="0"/>
        </w:rPr>
        <w:t xml:space="preserve"> Florida's assessment caps reset on sale — the county will likely reassess the commercial property near the actual sale price the year after closing, even if the prior assessed value was lower. If your pro forma NOI and cap rate work assumed the current (pre-sale) property tax line, get your CPA to model the post-sale reassessment so it doesn't quietly erode your returns.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7. Holding structure — landlord LLC vs. operating LLC</w:t>
        <w:br w:type="textWrapping"/>
      </w:r>
      <w:r w:rsidDel="00000000" w:rsidR="00000000" w:rsidRPr="00000000">
        <w:rPr>
          <w:rtl w:val="0"/>
        </w:rPr>
        <w:t xml:space="preserve"> Given you're already structuring this as two separate LLCs (real estate vs. laundromat operations) with an NNN lease between them, get the tax specialist's input on entity tax elections for each (disregarded entity vs. partnership), and whether the QBI/Section 199A pass-through deduction is available to Monica on the rental income, the operating income, or both — the rules treat rental real estate and an active business differently here.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8. FIRPTA</w:t>
        <w:br w:type="textWrapping"/>
      </w:r>
      <w:r w:rsidDel="00000000" w:rsidR="00000000" w:rsidRPr="00000000">
        <w:rPr>
          <w:rtl w:val="0"/>
        </w:rPr>
        <w:t xml:space="preserve"> If the seller (or an owner of the selling entity) is a foreign person, you as buyer are required to withhold up to 15% of the sale price and remit it to the IRS at closing. Worth a quick confirmation even if you're confident the seller is a U.S. person — the withholding obligation falls on you, not them, if it turns out otherwise.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9. Financing costs</w:t>
        <w:br w:type="textWrapping"/>
      </w:r>
      <w:r w:rsidDel="00000000" w:rsidR="00000000" w:rsidRPr="00000000">
        <w:rPr>
          <w:rtl w:val="0"/>
        </w:rPr>
        <w:t xml:space="preserve"> SBA loan points and fees generally get amortized over the life of the loan rather than deducted immediately — worth confirming with the CPA so it's modeled correctly in year-one cash flow projections.</w:t>
      </w:r>
    </w:p>
    <w:p w:rsidR="00000000" w:rsidDel="00000000" w:rsidP="00000000" w:rsidRDefault="00000000" w:rsidRPr="00000000" w14:paraId="00000013">
      <w:pPr>
        <w:spacing w:after="240" w:before="240" w:lineRule="auto"/>
        <w:rPr/>
      </w:pPr>
      <w:r w:rsidDel="00000000" w:rsidR="00000000" w:rsidRPr="00000000">
        <w:rPr>
          <w:rtl w:val="0"/>
        </w:rPr>
        <w:t xml:space="preserve">None of this is tax or legal advice — but walking into the conversation with these nine items already on the table should get you a much more productive session with the specialist, and most of it (especially #1, #2, and #3) needs to be decided before the purchase agreements are finalized, not after.</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ssfloridarealestate.com/calculators/documentary-stamp-tax" TargetMode="External"/><Relationship Id="rId5" Type="http://schemas.openxmlformats.org/officeDocument/2006/relationships/styles" Target="styles.xml"/><Relationship Id="rId6" Type="http://schemas.openxmlformats.org/officeDocument/2006/relationships/hyperlink" Target="https://rsmus.com/insights/services/business-tax/obba-tax-bonus-depreciation.html" TargetMode="External"/><Relationship Id="rId7" Type="http://schemas.openxmlformats.org/officeDocument/2006/relationships/hyperlink" Target="https://rsmus.com/insights/services/business-tax/obba-tax-bonus-depreciation.html" TargetMode="External"/><Relationship Id="rId8" Type="http://schemas.openxmlformats.org/officeDocument/2006/relationships/hyperlink" Target="https://www.passfloridarealestate.com/calculators/documentary-stamp-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