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your experience with M&amp;A and commercial real estate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deals have you done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estate attorney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lease but get current owner to share lease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 requires leases </w:t>
      </w:r>
      <w:r w:rsidDel="00000000" w:rsidR="00000000" w:rsidRPr="00000000">
        <w:rPr>
          <w:rtl w:val="0"/>
        </w:rPr>
        <w:t xml:space="preserve">be put in place prior to closing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phase one environmental audit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in security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in insurance for laundromat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of Revenue for Sales Tax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Indemnify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clearance letter from Department of Revenue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