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60" w:lineRule="auto"/>
        <w:rPr>
          <w:rFonts w:ascii="Times New Roman" w:cs="Times New Roman" w:eastAsia="Times New Roman" w:hAnsi="Times New Roman"/>
          <w:b w:val="1"/>
          <w:bCs w:val="1"/>
          <w:color w:val="7b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32"/>
          <w:szCs w:val="32"/>
          <w:rtl w:val="0"/>
        </w:rPr>
        <w:t xml:space="preserve">Employee (Pages)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will be the expected compensation structure for the new Onboarding Manager?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explain Ann De Arroz’s pay structure and client relationship status – you mentioned she is paid by Bookkeepers Without Borders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MK continue to receive 5% of the monthly client fees she was responsible for winning if she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2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0000"/>
          <w:sz w:val="32"/>
          <w:szCs w:val="32"/>
          <w:rtl w:val="0"/>
        </w:rPr>
        <w:t xml:space="preserve">Revenue Items (Pages)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hd w:fill="fce5cd" w:val="clear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Lines w:val="1"/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color w:val="ffffff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ffffff"/>
        <w:sz w:val="32"/>
        <w:szCs w:val="32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-19049</wp:posOffset>
          </wp:positionH>
          <wp:positionV relativeFrom="page">
            <wp:posOffset>-28574</wp:posOffset>
          </wp:positionV>
          <wp:extent cx="7810500" cy="71913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0500" cy="7191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ffffff"/>
        <w:sz w:val="32"/>
        <w:szCs w:val="32"/>
        <w:rtl w:val="0"/>
      </w:rPr>
      <w:t xml:space="preserve">Client &amp; Employee Review - Discussion Topics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5133975</wp:posOffset>
          </wp:positionH>
          <wp:positionV relativeFrom="paragraph">
            <wp:posOffset>-160019</wp:posOffset>
          </wp:positionV>
          <wp:extent cx="1684421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4421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A">
    <w:pPr>
      <w:keepLines w:val="1"/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color w:val="ffffff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