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before="120" w:lineRule="auto"/>
        <w:ind w:lef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Date: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September 8, 2026 ·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Duration: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70 minutes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Participants: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Ben (Founder/Owner, Keystone) · Jonathan Sukhia (Topkey, buyer) · Frank Moneymaker (AMB) · Tereno Forbes (AMB)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Purpose: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First working session on the P&amp;L — walk through revenue and expense accounts, understand the growth story, team structure, and cost base ahead of an offer.</w:t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color w:val="7b0000"/>
        </w:rPr>
      </w:pPr>
      <w:bookmarkStart w:colFirst="0" w:colLast="0" w:name="_jps2z5wawsua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7b0000"/>
          <w:sz w:val="34"/>
          <w:szCs w:val="34"/>
          <w:rtl w:val="0"/>
        </w:rPr>
        <w:t xml:space="preserve">1. Actionable Insights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Professional fees are 100% software build cost — a clean add-back, but confirm the mechanics.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The ~$73K in "other professional fees" is exclusively the third-party development spend on the Karbon replacement. Ben confirmed there is no portion sitting in payroll and no allocation anywhere else. Everything is expensed; nothing has been capitalized, and Ben's stated plan is to "deal with that at year-end and move some stuff around for taxes." Three consequences: (a) it's a non-recurring add-back for normalization purposes, (b) the capitalization question is still open and could move both the P&amp;L and the balance sheet before close, and (c) the ~$100K/yr technical resource Jon remembered from an earlier call is this contractor,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not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an employee — the in-house automations person is Philippines-based at under $2K/month.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Watch the Karbon double-count.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Per the notes, the pro forma currently double-counts the ~$100K alongside the full professional fees. The Karbon subscription runs through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April 2027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so the first forward year only captures a partial-year saving, and some portion gets replaced by hosting/maintenance on the in-house build. The clean version: professional fees as a one-time add-back, Karbon savings as a separately-stated and time-phased pro forma adjustment, with residual software spend netted against it.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There is an open onboarding manager seat that understates go-forward payroll.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An offer was out as of the call, with Ben hoping it would be signed that day. The hire is deliberately non-accounting — an ops/project-management profile — with a 3–6 month ramp before Ben can step back to a weekly report. Two implications: current payroll is understated by a full leadership salary that must be loaded into the run-rate, and Ben remains personally embedded in onboarding until that person is productive, which is an owner-dependence item for transition planning.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Software cost reduction is real but smaller and later than it first appears.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Zenit (~$20K) is already turned off. Uncat (~$20K) comes off by year end. Karbon (~$90–95K) runs to April 2027. That's the whole identified stack reduction — roughly $130–135K of gross annual savings, phased across two fiscal years, less whatever the in-house build costs to run. VR Platform (~$160K LTM) is a direct COGS expense that scales with listings, they're mandatory for every client, and Ben has them baked into a ~55% target margin on the production team rather than itemized on client invoices.</w:t>
      </w:r>
    </w:p>
    <w:p w:rsidR="00000000" w:rsidDel="00000000" w:rsidP="00000000" w:rsidRDefault="00000000" w:rsidRPr="00000000" w14:paraId="00000008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The tax prep line should come out of the go-forward income statement.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Income tax filing was a first-year, white-labeled experiment run under an outside EA's PTIN. She won't do it again. Ben calls it not a rousing success, expects only marginal profit, and deals with amended returns from prior-year issues. He hasn't decided whether to repeat it. Per the notes, we strip it — but that's a revenue haircut that needs to be sized and flagged to Ben so the reduction doesn't surprise him when it shows up in the valuation.</w:t>
      </w:r>
    </w:p>
    <w:p w:rsidR="00000000" w:rsidDel="00000000" w:rsidP="00000000" w:rsidRDefault="00000000" w:rsidRPr="00000000" w14:paraId="00000009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1099 filings should get full run-rate credit, not a seasonality discount.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At $15/form, this is structurally recurring and structurally growing: every property manager must file for every homeowner, plus cleaners and maintenance vendors, most of whom won't take cards. It concentrates in January–February, which makes it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look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one-time in an LTM view. It isn't. Ben expects it to scale with client count. The constraint is labor — chasing W9s, not filing — which the vacation tax team absorbs today with APIs being built against it.</w:t>
      </w:r>
    </w:p>
    <w:p w:rsidR="00000000" w:rsidDel="00000000" w:rsidP="00000000" w:rsidRDefault="00000000" w:rsidRPr="00000000" w14:paraId="0000000A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Offshore contractor classification is the single biggest structural risk raised.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Roughly the entire delivery org — client leads and bookkeepers — is engaged as direct contractors, paid through Wise, with no benefits and Keystone carrying compliance. Ben's own words: "technically they probably should be employees." He frames it as risk appetite, notes the team voted for contractor status, and points to an experienced Philippines-based HR manager if reclassification is ever required. Tereno offered useful counterweight from a prior company running 100+ Philippines staff the same way without issue. </w:t>
      </w:r>
    </w:p>
    <w:p w:rsidR="00000000" w:rsidDel="00000000" w:rsidP="00000000" w:rsidRDefault="00000000" w:rsidRPr="00000000" w14:paraId="0000000B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The customer concentration exchange needs correcting in our materials.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Frank framed the top 20 as ~$100K clients; Ben pushed back firmly and he's right on the facts. There are exactly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two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clients at that level, both driven by fractional CFO add-ons, and both are Topkey clients. Beyond those two it steps down to $40–50K across roughly 140 accounts. Frank conceded the point on the call. Our concentration analysis should be rebuilt around the actual top-two exposure — which is also where Ben's personal service delivery sits, making it a key-person issue as much as a concentration issue.</w:t>
      </w:r>
    </w:p>
    <w:p w:rsidR="00000000" w:rsidDel="00000000" w:rsidP="00000000" w:rsidRDefault="00000000" w:rsidRPr="00000000" w14:paraId="0000000C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Ben disputes the $695K indirect labor pro forma as too high.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We will resolve his concern with the comp detail that Ben will provide.</w:t>
      </w:r>
    </w:p>
    <w:p w:rsidR="00000000" w:rsidDel="00000000" w:rsidP="00000000" w:rsidRDefault="00000000" w:rsidRPr="00000000" w14:paraId="0000000D">
      <w:pPr>
        <w:spacing w:after="240" w:before="240" w:lineRule="auto"/>
        <w:ind w:lef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The delivery model is genuinely productized.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A defined pod ratio, MRR-based loading, an internal pass/fail training course, and proprietary tooling (Arch) make this more scalable than a typical accounting firm — and Ben has deliberately built it without partners or fiefdoms.</w:t>
      </w:r>
    </w:p>
    <w:p w:rsidR="00000000" w:rsidDel="00000000" w:rsidP="00000000" w:rsidRDefault="00000000" w:rsidRPr="00000000" w14:paraId="0000000E">
      <w:pPr>
        <w:spacing w:after="240" w:before="240" w:lineRule="auto"/>
        <w:ind w:lef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Owner dependence is moderate and narrowing, but real.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Ben still personally delivers both fractional CFO relationships (the two largest accounts) and is still hands-on in onboarding </w:t>
      </w:r>
    </w:p>
    <w:p w:rsidR="00000000" w:rsidDel="00000000" w:rsidP="00000000" w:rsidRDefault="00000000" w:rsidRPr="00000000" w14:paraId="0000000F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color w:val="7b0000"/>
          <w:sz w:val="34"/>
          <w:szCs w:val="34"/>
        </w:rPr>
      </w:pPr>
      <w:bookmarkStart w:colFirst="0" w:colLast="0" w:name="_1fh28wrav3i5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7b0000"/>
          <w:sz w:val="34"/>
          <w:szCs w:val="34"/>
          <w:rtl w:val="0"/>
        </w:rPr>
        <w:t xml:space="preserve">2. Next Steps</w:t>
      </w:r>
    </w:p>
    <w:p w:rsidR="00000000" w:rsidDel="00000000" w:rsidP="00000000" w:rsidRDefault="00000000" w:rsidRPr="00000000" w14:paraId="00000011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u w:val="single"/>
          <w:rtl w:val="0"/>
        </w:rPr>
        <w:t xml:space="preserve">Ben to provide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HubSpot referral-source property export (lead source by client)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Org chart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Compensation for each active employee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Inactive employee list for 2026 and 2025 (2024 if available) — hire date, termination date, role, and comp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August financials</w:t>
      </w:r>
    </w:p>
    <w:p w:rsidR="00000000" w:rsidDel="00000000" w:rsidP="00000000" w:rsidRDefault="00000000" w:rsidRPr="00000000" w14:paraId="00000017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u w:val="single"/>
          <w:rtl w:val="0"/>
        </w:rPr>
        <w:t xml:space="preserve">AMB to complete</w:t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Categorize each active employee to their respective P&amp;L account and send back to Ben for review</w:t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Size the employee-vs-contractor reclassification impact for the offshore team (employer taxes, benefits, healthcare, and the comp-haircut assumption Ben expects to offset it)</w:t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Remove the double count of the ~$100K Karbon savings against the full professional fees; time-phase the subscription runoff to the April 2027 expiry and net residual maintenance spend</w:t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Remove the tax prep account from the go-forward income statement</w:t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Give full run-rate credit to 1099 filing revenue</w:t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Rebuild the customer concentration analysis around the actual top-two exposure</w:t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Reconcile the "12+ eliminable positions" figure against Ben's no-cuts position on this call</w:t>
      </w:r>
    </w:p>
    <w:p w:rsidR="00000000" w:rsidDel="00000000" w:rsidP="00000000" w:rsidRDefault="00000000" w:rsidRPr="00000000" w14:paraId="0000001F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Resolve the $695K indirect labor pro forma Ben flagged as high</w:t>
      </w:r>
    </w:p>
    <w:p w:rsidR="00000000" w:rsidDel="00000000" w:rsidP="00000000" w:rsidRDefault="00000000" w:rsidRPr="00000000" w14:paraId="00000020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u w:val="single"/>
          <w:rtl w:val="0"/>
        </w:rPr>
        <w:t xml:space="preserve">Process</w:t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Schedule follow-up call with Ben covering the team and client relationships in depth</w:t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Third session to close remaining follow-ups and share conclusions, then move to offer</w:t>
      </w:r>
    </w:p>
    <w:p w:rsidR="00000000" w:rsidDel="00000000" w:rsidP="00000000" w:rsidRDefault="00000000" w:rsidRPr="00000000" w14:paraId="00000023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color w:val="7b0000"/>
          <w:sz w:val="34"/>
          <w:szCs w:val="34"/>
        </w:rPr>
      </w:pPr>
      <w:bookmarkStart w:colFirst="0" w:colLast="0" w:name="_8liliyjpl04c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7b0000"/>
          <w:sz w:val="34"/>
          <w:szCs w:val="34"/>
          <w:rtl w:val="0"/>
        </w:rPr>
        <w:t xml:space="preserve">3. Key Topic Overview</w:t>
      </w:r>
    </w:p>
    <w:p w:rsidR="00000000" w:rsidDel="00000000" w:rsidP="00000000" w:rsidRDefault="00000000" w:rsidRPr="00000000" w14:paraId="00000025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Company history and growth (0:00–7:00)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Founded 2021 on a purchased book — 17 clients, ~$80K ARR from a retiring bookkeeper — while Ben was still a full-time software company CFO. First short-term rental client landed November 2021 via a mutual CPA and is still a client. STR turned out to be far harder than expected but the work was good enough to generate referrals. Adopted VR Platform in October 2022 after a poor experience with B&amp;B Tally, which standardized delivery and enabled scaling. Ben went full-time August 2023 and went all-in on STR. Last month he sold the original SMB book to a departing accounting manager, who bought it, turned down another offer, and took a couple of employees with him.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Keystone is now 100% STR focused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No attestation work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— no audits, reviews, or compilations. Roughly $3M revenue in five years.</w:t>
      </w:r>
    </w:p>
    <w:p w:rsidR="00000000" w:rsidDel="00000000" w:rsidP="00000000" w:rsidRDefault="00000000" w:rsidRPr="00000000" w14:paraId="00000026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Growth channels (7:00–9:30)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Entirely referral and partnership driven — STR masterminds, a PMI franchise relationship, software marketplace referrals (Guesty, VR Platform), Topkey client referrals, Facebook community presence, and increasingly AI/ChatGPT-sourced inbound. No outbound, no PPC, no direct mail. Conferences are the only paid channel, via booths and speaking, sometimes alongside Topkey. First full-time sales rep (MK) hired roughly May of last year, purely because Ben's calendar couldn't absorb sales calls anymore. Sources are tracked in HubSpot; no single dominant channel.</w:t>
      </w:r>
    </w:p>
    <w:p w:rsidR="00000000" w:rsidDel="00000000" w:rsidP="00000000" w:rsidRDefault="00000000" w:rsidRPr="00000000" w14:paraId="00000027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Reinvestment philosophy and the software build (10:00–14:40)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Ben takes home a fixed number and pushes the rest back into the business, with an explicit goal of distancing himself from client work. Investment goes into US-based accounting managers 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three hired this year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) and hiring ahead of demand — nobody arrives knowing STR bookkeeping, trust accounting, or what a PMS is, so the training pipeline has to run ahead of the sales pipeline. The bigger 2026 investment is a Karbon replacement with a dedicated client portal, consolidating four or five stitched-together third-party apps that today require a multi-page onboarding PDF telling clients where to go for what. Motivation is client experience first, cost control second. Separately, Arch is a fully in-house AI tool connecting QuickBooks and VR Trust, where the team increasingly does the actual work; Ben wants a Topkey integration.</w:t>
      </w:r>
    </w:p>
    <w:p w:rsidR="00000000" w:rsidDel="00000000" w:rsidP="00000000" w:rsidRDefault="00000000" w:rsidRPr="00000000" w14:paraId="00000028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Owner time and hiring ramps (14:40–17:50)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Ben's time today: onboarding (more than he wants, pending the manager hire), training and developing the team, and building on the AI side. The onboarding manager hire is an ops/PM profile rather than an accountant, which shortens ramp to 3–6 months. Bookkeepers go through an internally built two-week course simulating a month of bookkeeping on live tools and simulated data, pass/fail — failures are cut and replaced. Comfortable at 3–6 months, fully loaded at 6–9.</w:t>
      </w:r>
    </w:p>
    <w:p w:rsidR="00000000" w:rsidDel="00000000" w:rsidP="00000000" w:rsidRDefault="00000000" w:rsidRPr="00000000" w14:paraId="00000029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Revenue lines (17:50–27:30)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Core STR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is the base package (gold, silver, trust essentials) covering bookkeeping, owner statements, and monthly financials — the bulk of revenue.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Add-ons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(occupancy taxes, Topkey subscription, STR bill pay) are presented to every client at signup through proposal software, so penetration is largely a function of client need rather than untapped cross-sell; occupancy taxes launched Q1/Q2 2025 and are still ramping across new and existing clients.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Controller services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is a legacy label for a sunset service — Keystone used to place and manage offshore bookkeepers inside client teams, which failed because property managers don't know how to manage a bookkeeper; the account now holds two fractional CFO clients that Ben personally services biweekly, including P&amp;L-by-property gross margin work.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Historical cleanup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was reclassed into onboarding; cleanup bills hourly (scope is unpredictable, sometimes two years back) while onboarding is priced at one extra month's fee, which is deliberately easier to discount than the recurring per-listing rate.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SMB subscription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is the sold book and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goes to zero in August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Profit share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(~$17K) is overwhelmingly Relay's referral program, with small amounts from Gusto and Ramp.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1099 filings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at $15/form are recurring and growing.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Income tax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is the first-year white-label experiment described above.</w:t>
      </w:r>
    </w:p>
    <w:p w:rsidR="00000000" w:rsidDel="00000000" w:rsidP="00000000" w:rsidRDefault="00000000" w:rsidRPr="00000000" w14:paraId="0000002A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No new service lines are planned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</w:r>
    </w:p>
    <w:p w:rsidR="00000000" w:rsidDel="00000000" w:rsidP="00000000" w:rsidRDefault="00000000" w:rsidRPr="00000000" w14:paraId="0000002B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Labor structure (27:30–40:30)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Indirect labor is primarily US-based accounting managers plus admin, HR manager, internal accountant, and the automations person. The delivery model is a repeatable pod: one accounting manager to five client leads, each client lead over three bookkeepers, plus a senior client lead per pod. Accounting managers are onshore; client leads and bookkeepers are offshore. Loading is by MRR, not client count — $5–6K MRR per bookkeeper, rarely more than six clients, with complexity like bill pay factored in. Bookkeepers run ~$1,000–1,200/month all-in; client leads ~$2K/month. Compensation includes an up-to-5% bonus for everyone on role-specific KPIs (client satisfaction, speed, accuracy), paid semiannually, plus 13th-month pay for the Philippines team. MK is separately on 5% of client revenue for the first 12 months. S&amp;M wages (~$8K/month) cover two people — sales and a marketing person handling LinkedIn, blogs, case studies, newsletter, webinars, conferences, swag, and the benchmark tool on the site. Owner wages are Ben; distributions are owner draws below the line (S corp). Growth plan is simply to replicate the pod.</w:t>
      </w:r>
    </w:p>
    <w:p w:rsidR="00000000" w:rsidDel="00000000" w:rsidP="00000000" w:rsidRDefault="00000000" w:rsidRPr="00000000" w14:paraId="0000002C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Software and other opex (40:30–49:00)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COGS software is VR Trust and VR Platform, ~$160K LTM, not itemized to clients and not optional — roughly $5/listing in ballpark terms against a lower actual cost, absorbed into the ~55% production margin target. G&amp;A software is where the reductions live: Karbon (~$90–95K, through April 2027), Uncat (~$20K, cut by year end), Zenit (~$20K, already off), with ancillary tools folding into Arch over time. Ben sees no future third-party purchases — "we can just build everything." Referral fees: the PMI franchise takes a recurring per-listing amount he estimates at 3–5%; masterminds get a referral fee after a client has been retained three months; Guesty Marketplace is ~$200/month. He turned down Hostaway, which wanted 20–25% of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all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clients rather than marketplace-sourced ones. Travel/meals/entertainment has no personal component. Payment collection fees scale with revenue. Conference spend recurs at a couple per year. The recruiting fees account is mostly nominal internal referral bonuses to Philippines staff; only one US recruiter has ever been paid, for a hire who left eight months later. Utilities is Ben's Starlink — there are no offices.</w:t>
      </w:r>
    </w:p>
    <w:p w:rsidR="00000000" w:rsidDel="00000000" w:rsidP="00000000" w:rsidRDefault="00000000" w:rsidRPr="00000000" w14:paraId="0000002D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Offshore engagement model (49:00–58:00)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Frank's "staffing agency" framing was corrected: Keystone has no staffing agency. Ben separately owns a recruiting company (transcribed "Bookkeeper Stout Borders," likely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Bookkeepers Without Borders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) that recruits for Keystone and, for outside CPA firms, charges a one-time $3,500 finder's fee — 10 to 15 placements a year, enough to cover the recruiter's salary so Keystone bears no recruiting cost. There is no ongoing markup or pass-through on placed staff. Keystone's own offshore team are direct contractors paid through Wise, with Keystone handling compliance. No holidays are observed; everyone gets 24 PTO days and takes their own country's holidays out of that balance, which avoids managing multiple national calendars.</w:t>
      </w:r>
    </w:p>
    <w:p w:rsidR="00000000" w:rsidDel="00000000" w:rsidP="00000000" w:rsidRDefault="00000000" w:rsidRPr="00000000" w14:paraId="0000002E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Valuation and process (59:00–end)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Ben asked directly whether we're valuing on revenue or EBITDA and pressed for a ballpark range before doing more work. Frank's answer: a revenue-based approach broadly makes sense, but concentration, staffing, and turnover drive both the number and the structure, and we need a view of forward earnings rather than current earnings — which Frank noted are roughly $100K today. Frank framed the up-front burden as deliberate: ~93% of AMB offers close, because the diligence happens before the offer rather than after, avoiding re-cuts. Jon reinforced that he doesn't want to throw out arbitrary numbers, and flagged that his interest includes software synergies. On churn: Jon is more concerned about employee turnover than customer turnover. Ben acknowledged real churn, mostly involuntary, and hires four to five people a month to stay ahead of it — but noted that client-facing point-of-contact churn is low, and that when a bookkeeper is promoted to client lead they take their existing clients with them, minimizing disruption.</w:t>
      </w: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431.99999999999994" w:footer="431.99999999999994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1">
    <w:pPr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2">
    <w:pPr>
      <w:rPr/>
    </w:pPr>
    <w:r w:rsidDel="00000000" w:rsidR="00000000" w:rsidRPr="00000000">
      <w:pict>
        <v:rect style="width:0.0pt;height:1.5pt" o:hr="t" o:hrstd="t" o:hralign="center" fillcolor="#A0A0A0" stroked="f"/>
      </w:pic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3">
    <w:pPr>
      <w:jc w:val="center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4">
    <w:pPr>
      <w:jc w:val="center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F">
    <w:pPr>
      <w:keepLines w:val="1"/>
      <w:spacing w:line="240" w:lineRule="auto"/>
      <w:jc w:val="center"/>
      <w:rPr>
        <w:rFonts w:ascii="Times New Roman" w:cs="Times New Roman" w:eastAsia="Times New Roman" w:hAnsi="Times New Roman"/>
        <w:b w:val="1"/>
        <w:bCs w:val="1"/>
        <w:color w:val="ffffff"/>
        <w:sz w:val="32"/>
        <w:szCs w:val="32"/>
      </w:rPr>
    </w:pPr>
    <w:r w:rsidDel="00000000" w:rsidR="00000000" w:rsidRPr="00000000">
      <w:rPr>
        <w:rFonts w:ascii="Times New Roman" w:cs="Times New Roman" w:eastAsia="Times New Roman" w:hAnsi="Times New Roman"/>
        <w:b w:val="1"/>
        <w:bCs w:val="1"/>
        <w:color w:val="ffffff"/>
        <w:sz w:val="32"/>
        <w:szCs w:val="32"/>
      </w:rPr>
      <w:drawing>
        <wp:anchor allowOverlap="1" behindDoc="1" distB="114300" distT="114300" distL="114300" distR="114300" hidden="0" layoutInCell="1" locked="0" relativeHeight="0" simplePos="0">
          <wp:simplePos x="0" y="0"/>
          <wp:positionH relativeFrom="page">
            <wp:posOffset>-19049</wp:posOffset>
          </wp:positionH>
          <wp:positionV relativeFrom="page">
            <wp:posOffset>-28574</wp:posOffset>
          </wp:positionV>
          <wp:extent cx="7810500" cy="719138"/>
          <wp:effectExtent b="0" l="0" r="0" t="0"/>
          <wp:wrapNone/>
          <wp:docPr id="2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810500" cy="719138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Fonts w:ascii="Times New Roman" w:cs="Times New Roman" w:eastAsia="Times New Roman" w:hAnsi="Times New Roman"/>
        <w:b w:val="1"/>
        <w:bCs w:val="1"/>
        <w:color w:val="ffffff"/>
        <w:sz w:val="32"/>
        <w:szCs w:val="32"/>
        <w:rtl w:val="0"/>
      </w:rPr>
      <w:t xml:space="preserve">Keystone — P&amp;L Review Call Summary</w:t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5133975</wp:posOffset>
          </wp:positionH>
          <wp:positionV relativeFrom="paragraph">
            <wp:posOffset>-160019</wp:posOffset>
          </wp:positionV>
          <wp:extent cx="1684421" cy="571500"/>
          <wp:effectExtent b="0" l="0" r="0" t="0"/>
          <wp:wrapNone/>
          <wp:docPr id="1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684421" cy="571500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30">
    <w:pPr>
      <w:keepLines w:val="1"/>
      <w:spacing w:line="240" w:lineRule="auto"/>
      <w:jc w:val="center"/>
      <w:rPr>
        <w:rFonts w:ascii="Times New Roman" w:cs="Times New Roman" w:eastAsia="Times New Roman" w:hAnsi="Times New Roman"/>
        <w:b w:val="1"/>
        <w:bCs w:val="1"/>
        <w:color w:val="ffffff"/>
        <w:sz w:val="32"/>
        <w:szCs w:val="32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