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60" w:lineRule="auto"/>
        <w:rPr>
          <w:rFonts w:ascii="Times New Roman" w:cs="Times New Roman" w:eastAsia="Times New Roman" w:hAnsi="Times New Roman"/>
          <w:b w:val="1"/>
          <w:bCs w:val="1"/>
          <w:color w:val="7b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32"/>
          <w:szCs w:val="32"/>
          <w:rtl w:val="0"/>
        </w:rPr>
        <w:t xml:space="preserve">P&amp;L Overview (Page 2)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 Keystone’s history, including the evolution of your new client pipeline, additional service offerings, and investments in your team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perform any attestation work or other services requiring licensing?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have been the primary drivers of your client growth?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have you been reinvesting the business’s cash flow?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costs do you consider discretionary or one-time in nature – client growth initiatives, R&amp;D, or other non-recurring items?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2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32"/>
          <w:szCs w:val="32"/>
          <w:rtl w:val="0"/>
        </w:rPr>
        <w:t xml:space="preserve">Revenue Items (Pages 3 &amp;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the services you perform for your “STR Subscription” clients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describe the relationship between your “STR Subscription” revenue, if any, and your other service accounts such as “STR Bill Pay”, “Topkey Subscription”, and “Occupancy Taxes”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the “Occupancy Taxes” revenue line and explain what factors drove the increase in revenue from late 2025 through YTD 2026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portion of Occupancy Tax clients come from your existing book of business versus clients won directly for that service?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the nature of your “STR Bill Pay” account, including the services offered and growth drivers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happened to the “Historical Cleanup” revenue account in 2026 vs. 2025? Was it reclassified?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has driven the decline in “SMB Subscription” income over the historical period?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factors drive the “1099 Filing” and “Income Tax” nonrecurring revenue accounts?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 you see as a reasonable amount of normalized nonrecurring revenue?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any established or pending revenue share agreements or affiliate partnerships? Does the “Profit Share” revenue line relate to one of these arrangements?</w:t>
      </w:r>
    </w:p>
    <w:p w:rsidR="00000000" w:rsidDel="00000000" w:rsidP="00000000" w:rsidRDefault="00000000" w:rsidRPr="00000000" w14:paraId="00000012">
      <w:pPr>
        <w:spacing w:after="100" w:before="260" w:lineRule="auto"/>
        <w:rPr>
          <w:rFonts w:ascii="Times New Roman" w:cs="Times New Roman" w:eastAsia="Times New Roman" w:hAnsi="Times New Roman"/>
          <w:b w:val="1"/>
          <w:bCs w:val="1"/>
          <w:color w:val="7b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32"/>
          <w:szCs w:val="32"/>
          <w:rtl w:val="0"/>
        </w:rPr>
        <w:t xml:space="preserve">Payroll Expenses (Page 5, 7, &amp; 8)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factors have driven the increase in “Indirect Labor” from $202K in LTM July’25 to $695K on a pro forma basis as of July’26?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you think about staffing ratios and client account loads for your bookkeepers?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KPIs do you target?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responsibilities of your client leads?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hasn’t client lead payroll increased proportionately with bookkeepers/net client growth?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employees are included in your “Sales &amp; Marketing Wages” account?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responsibilities of your sales and marketing employees (classified as $8,200/month)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clients are you winning from S&amp;M employees per month?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describe your “Occupancy Tax Specialist” account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revenue items are they responsible for?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explain your staffing approach for controller clients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there any bonus, commission, or profit-sharing arrangements, and are they fully reflected in these accounts?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factors have contributed to turnover through the historical period?</w:t>
      </w:r>
    </w:p>
    <w:p w:rsidR="00000000" w:rsidDel="00000000" w:rsidP="00000000" w:rsidRDefault="00000000" w:rsidRPr="00000000" w14:paraId="00000020">
      <w:pPr>
        <w:spacing w:after="100" w:before="260" w:lineRule="auto"/>
        <w:rPr>
          <w:rFonts w:ascii="Times New Roman" w:cs="Times New Roman" w:eastAsia="Times New Roman" w:hAnsi="Times New Roman"/>
          <w:b w:val="1"/>
          <w:bCs w:val="1"/>
          <w:color w:val="7b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32"/>
          <w:szCs w:val="32"/>
          <w:rtl w:val="0"/>
        </w:rPr>
        <w:t xml:space="preserve">Software Expenses (Page 6 &amp; 8)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explain the nature of your four “Software &amp; Apps” expense accounts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cost and markup for software billed to clients?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factors have driven the increase in “Software &amp; Apps” accounts over the past 12 months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synergies/opportunities do you foresee when integrating with Topkey’s resources?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32"/>
          <w:szCs w:val="32"/>
          <w:rtl w:val="0"/>
        </w:rPr>
        <w:t xml:space="preserve">Operational Expenses (Page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“Other Professional Fees” and what drives this account?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portion of your “Travel, Meals, &amp; Entertainment” expenses are personal in nature?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explain the structure of your “Referral Fees”?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explain the nature of your “Payment Collection Fees” account?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plan on continuing your annual “C&amp;M -  Ticket/Sponsorship” spend ($11K LTM)?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we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think of your “Recruiting Fees” account ($9K LTM)?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rent or lease any office/storage spaces?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Lines w:val="1"/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-19049</wp:posOffset>
          </wp:positionH>
          <wp:positionV relativeFrom="page">
            <wp:posOffset>-28574</wp:posOffset>
          </wp:positionV>
          <wp:extent cx="7810500" cy="71913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0500" cy="7191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  <w:rtl w:val="0"/>
      </w:rPr>
      <w:t xml:space="preserve">Initial Financial Review - Discussion Topics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5133975</wp:posOffset>
          </wp:positionH>
          <wp:positionV relativeFrom="paragraph">
            <wp:posOffset>-160019</wp:posOffset>
          </wp:positionV>
          <wp:extent cx="1684421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4421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keepLines w:val="1"/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