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B3441" w14:textId="77777777" w:rsidR="00796B66" w:rsidRDefault="00000000">
      <w:pPr>
        <w:spacing w:before="120" w:after="40"/>
      </w:pPr>
      <w:r>
        <w:rPr>
          <w:b/>
          <w:bCs/>
          <w:color w:val="7B0000"/>
          <w:sz w:val="40"/>
          <w:szCs w:val="40"/>
        </w:rPr>
        <w:t>Topkey | Keystone Bookkeepers</w:t>
      </w:r>
    </w:p>
    <w:p w14:paraId="5FD06B1E" w14:textId="77777777" w:rsidR="00796B66" w:rsidRDefault="00000000">
      <w:pPr>
        <w:spacing w:after="40"/>
      </w:pPr>
      <w:r>
        <w:rPr>
          <w:i/>
          <w:iCs/>
          <w:color w:val="000000"/>
          <w:sz w:val="28"/>
          <w:szCs w:val="28"/>
        </w:rPr>
        <w:t>Pre-LOI Diligence Findings and Deal Considerations</w:t>
      </w:r>
    </w:p>
    <w:p w14:paraId="59AA3F01" w14:textId="77777777" w:rsidR="00796B66" w:rsidRDefault="00000000">
      <w:pPr>
        <w:pStyle w:val="Heading1"/>
        <w:keepNext/>
        <w:spacing w:before="300" w:after="120"/>
      </w:pPr>
      <w:r>
        <w:rPr>
          <w:b/>
          <w:bCs/>
          <w:color w:val="7B0000"/>
          <w:sz w:val="34"/>
          <w:szCs w:val="34"/>
        </w:rPr>
        <w:t>Executive Summary</w:t>
      </w:r>
    </w:p>
    <w:p w14:paraId="733FF2C9" w14:textId="77777777" w:rsidR="00796B66" w:rsidRDefault="00000000">
      <w:pPr>
        <w:spacing w:after="120" w:line="264" w:lineRule="auto"/>
      </w:pPr>
      <w:r>
        <w:rPr>
          <w:b/>
          <w:bCs/>
          <w:color w:val="000000"/>
        </w:rPr>
        <w:t>Our view: Keystone is an attractive acquisition at approximately $3.0M (roughly 1x revenue), provided the purchase price does not move meaningfully higher.</w:t>
      </w:r>
      <w:r>
        <w:rPr>
          <w:color w:val="000000"/>
        </w:rPr>
        <w:t xml:space="preserve"> The business is a virtual, tech-forward bookkeeping firm with an offshore team, a pod staffing model, a deliberate growth engine, and a steadily improving client mix. It is currently operating near breakeven (a 1.7% pro forma net margin) because it has hired well ahead of client growth and carries heavy staff turnover. Both conditions are fixable, and the gap between today’s earnings and normalized earnings is where the value in this deal sits.</w:t>
      </w:r>
    </w:p>
    <w:p w14:paraId="7751F8A9" w14:textId="77777777" w:rsidR="00796B66" w:rsidRDefault="00000000">
      <w:pPr>
        <w:spacing w:after="120" w:line="264" w:lineRule="auto"/>
      </w:pPr>
      <w:r>
        <w:rPr>
          <w:color w:val="000000"/>
        </w:rPr>
        <w:t>The investment case rests on three assumptions that we believe are reasonable but must be confirmed:</w:t>
      </w:r>
    </w:p>
    <w:p w14:paraId="1EBD5E1D" w14:textId="77777777" w:rsidR="00796B66" w:rsidRDefault="00000000">
      <w:pPr>
        <w:pStyle w:val="ListParagraph"/>
        <w:numPr>
          <w:ilvl w:val="0"/>
          <w:numId w:val="2"/>
        </w:numPr>
        <w:spacing w:after="60" w:line="252" w:lineRule="auto"/>
      </w:pPr>
      <w:r>
        <w:rPr>
          <w:b/>
          <w:bCs/>
          <w:color w:val="000000"/>
        </w:rPr>
        <w:t>Staffing normalizes.</w:t>
      </w:r>
      <w:r>
        <w:rPr>
          <w:color w:val="000000"/>
        </w:rPr>
        <w:t xml:space="preserve"> Bookkeeper portfolio loads return from roughly 4.5 clients today (down from about 11 in January 2025) toward the 8–10 clients management considers normal.</w:t>
      </w:r>
    </w:p>
    <w:p w14:paraId="61D0359B" w14:textId="77777777" w:rsidR="00796B66" w:rsidRDefault="00000000">
      <w:pPr>
        <w:pStyle w:val="ListParagraph"/>
        <w:numPr>
          <w:ilvl w:val="0"/>
          <w:numId w:val="2"/>
        </w:numPr>
        <w:spacing w:after="60" w:line="252" w:lineRule="auto"/>
      </w:pPr>
      <w:r>
        <w:rPr>
          <w:b/>
          <w:bCs/>
          <w:color w:val="000000"/>
        </w:rPr>
        <w:t>Clients are retained.</w:t>
      </w:r>
      <w:r>
        <w:rPr>
          <w:color w:val="000000"/>
        </w:rPr>
        <w:t xml:space="preserve"> Particularly the top 20 accounts, which represent 32% of revenue.</w:t>
      </w:r>
    </w:p>
    <w:p w14:paraId="0BA5688F" w14:textId="77777777" w:rsidR="00796B66" w:rsidRDefault="00000000">
      <w:pPr>
        <w:pStyle w:val="ListParagraph"/>
        <w:numPr>
          <w:ilvl w:val="0"/>
          <w:numId w:val="2"/>
        </w:numPr>
        <w:spacing w:after="60" w:line="252" w:lineRule="auto"/>
      </w:pPr>
      <w:r>
        <w:rPr>
          <w:b/>
          <w:bCs/>
          <w:color w:val="000000"/>
        </w:rPr>
        <w:t>Topkey replaces third-party software.</w:t>
      </w:r>
      <w:r>
        <w:rPr>
          <w:color w:val="000000"/>
        </w:rPr>
        <w:t xml:space="preserve"> VR Platform, Karbon, Uncat, and Xenett together represent about $270K of LTM spend.</w:t>
      </w:r>
    </w:p>
    <w:p w14:paraId="63A8E2FB" w14:textId="77777777" w:rsidR="00796B66" w:rsidRDefault="00796B6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5660"/>
      </w:tblGrid>
      <w:tr w:rsidR="00796B66" w14:paraId="240B014B" w14:textId="77777777">
        <w:tblPrEx>
          <w:tblCellMar>
            <w:top w:w="0" w:type="dxa"/>
            <w:bottom w:w="0" w:type="dxa"/>
          </w:tblCellMar>
        </w:tblPrEx>
        <w:trPr>
          <w:cantSplit/>
          <w:tblHeader/>
        </w:trPr>
        <w:tc>
          <w:tcPr>
            <w:tcW w:w="3700" w:type="dxa"/>
            <w:tcBorders>
              <w:top w:val="single" w:sz="4" w:space="0" w:color="BFBFBF"/>
              <w:left w:val="single" w:sz="4" w:space="0" w:color="BFBFBF"/>
              <w:bottom w:val="single" w:sz="4" w:space="0" w:color="BFBFBF"/>
              <w:right w:val="single" w:sz="4" w:space="0" w:color="BFBFBF"/>
            </w:tcBorders>
            <w:shd w:val="clear" w:color="auto" w:fill="990033"/>
            <w:tcMar>
              <w:top w:w="60" w:type="dxa"/>
              <w:left w:w="100" w:type="dxa"/>
              <w:bottom w:w="60" w:type="dxa"/>
              <w:right w:w="100" w:type="dxa"/>
            </w:tcMar>
          </w:tcPr>
          <w:p w14:paraId="61189764" w14:textId="77777777" w:rsidR="00796B66" w:rsidRDefault="00000000">
            <w:r>
              <w:rPr>
                <w:b/>
                <w:bCs/>
                <w:color w:val="FFFFFF"/>
                <w:sz w:val="20"/>
                <w:szCs w:val="20"/>
              </w:rPr>
              <w:t>Key Metric</w:t>
            </w:r>
          </w:p>
        </w:tc>
        <w:tc>
          <w:tcPr>
            <w:tcW w:w="5660" w:type="dxa"/>
            <w:tcBorders>
              <w:top w:val="single" w:sz="4" w:space="0" w:color="BFBFBF"/>
              <w:left w:val="single" w:sz="4" w:space="0" w:color="BFBFBF"/>
              <w:bottom w:val="single" w:sz="4" w:space="0" w:color="BFBFBF"/>
              <w:right w:val="single" w:sz="4" w:space="0" w:color="BFBFBF"/>
            </w:tcBorders>
            <w:shd w:val="clear" w:color="auto" w:fill="990033"/>
            <w:tcMar>
              <w:top w:w="60" w:type="dxa"/>
              <w:left w:w="100" w:type="dxa"/>
              <w:bottom w:w="60" w:type="dxa"/>
              <w:right w:w="100" w:type="dxa"/>
            </w:tcMar>
          </w:tcPr>
          <w:p w14:paraId="0774B9DD" w14:textId="77777777" w:rsidR="00796B66" w:rsidRDefault="00000000">
            <w:r>
              <w:rPr>
                <w:b/>
                <w:bCs/>
                <w:color w:val="FFFFFF"/>
                <w:sz w:val="20"/>
                <w:szCs w:val="20"/>
              </w:rPr>
              <w:t>Finding</w:t>
            </w:r>
          </w:p>
        </w:tc>
      </w:tr>
      <w:tr w:rsidR="00796B66" w14:paraId="6DA2D69B"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3D61F4" w14:textId="77777777" w:rsidR="00796B66" w:rsidRDefault="00000000">
            <w:r>
              <w:rPr>
                <w:color w:val="000000"/>
                <w:sz w:val="20"/>
                <w:szCs w:val="20"/>
              </w:rPr>
              <w:t>Revenue</w:t>
            </w:r>
          </w:p>
        </w:tc>
        <w:tc>
          <w:tcPr>
            <w:tcW w:w="5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E3A0F6" w14:textId="77777777" w:rsidR="00796B66" w:rsidRDefault="00000000">
            <w:r>
              <w:rPr>
                <w:color w:val="000000"/>
                <w:sz w:val="20"/>
                <w:szCs w:val="20"/>
              </w:rPr>
              <w:t>$2.55M LTM July 2026 (+68% year over year); ~$3.0M run rate; ~$3.09M per active client list</w:t>
            </w:r>
          </w:p>
        </w:tc>
      </w:tr>
      <w:tr w:rsidR="00796B66" w14:paraId="74CF15C0"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0FDEF7" w14:textId="77777777" w:rsidR="00796B66" w:rsidRDefault="00000000">
            <w:r>
              <w:rPr>
                <w:color w:val="000000"/>
                <w:sz w:val="20"/>
                <w:szCs w:val="20"/>
              </w:rPr>
              <w:t>Pro forma net income</w:t>
            </w:r>
          </w:p>
        </w:tc>
        <w:tc>
          <w:tcPr>
            <w:tcW w:w="5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AE95783" w14:textId="77777777" w:rsidR="00796B66" w:rsidRDefault="00000000">
            <w:r>
              <w:rPr>
                <w:color w:val="000000"/>
                <w:sz w:val="20"/>
                <w:szCs w:val="20"/>
              </w:rPr>
              <w:t>$51K (1.7% margin), down from a 12.8% margin in FY2024 as the business invested in headcount</w:t>
            </w:r>
          </w:p>
        </w:tc>
      </w:tr>
      <w:tr w:rsidR="00796B66" w14:paraId="6EBCA9CB"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826CCC" w14:textId="77777777" w:rsidR="00796B66" w:rsidRDefault="00000000">
            <w:r>
              <w:rPr>
                <w:color w:val="000000"/>
                <w:sz w:val="20"/>
                <w:szCs w:val="20"/>
              </w:rPr>
              <w:t>Near-term adjusted EBITDA</w:t>
            </w:r>
          </w:p>
        </w:tc>
        <w:tc>
          <w:tcPr>
            <w:tcW w:w="5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94A64C" w14:textId="77777777" w:rsidR="00796B66" w:rsidRDefault="00000000">
            <w:r>
              <w:rPr>
                <w:color w:val="000000"/>
                <w:sz w:val="20"/>
                <w:szCs w:val="20"/>
              </w:rPr>
              <w:t>~$54K after the onboarding manager hire, go-forward owner comp, and software savings; approx. –$166K before software savings and the R&amp;D add-back</w:t>
            </w:r>
          </w:p>
        </w:tc>
      </w:tr>
      <w:tr w:rsidR="00796B66" w14:paraId="58548ED6"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CAB812" w14:textId="77777777" w:rsidR="00796B66" w:rsidRDefault="00000000">
            <w:r>
              <w:rPr>
                <w:color w:val="000000"/>
                <w:sz w:val="20"/>
                <w:szCs w:val="20"/>
              </w:rPr>
              <w:t>Steady-state adjusted EBITDA</w:t>
            </w:r>
          </w:p>
        </w:tc>
        <w:tc>
          <w:tcPr>
            <w:tcW w:w="5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0476F6" w14:textId="77777777" w:rsidR="00796B66" w:rsidRDefault="00000000">
            <w:r>
              <w:rPr>
                <w:color w:val="000000"/>
                <w:sz w:val="20"/>
                <w:szCs w:val="20"/>
              </w:rPr>
              <w:t>~$551K (17.8% margin)</w:t>
            </w:r>
          </w:p>
        </w:tc>
      </w:tr>
      <w:tr w:rsidR="00796B66" w14:paraId="02BDEC67"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F88EEB" w14:textId="77777777" w:rsidR="00796B66" w:rsidRDefault="00000000">
            <w:r>
              <w:rPr>
                <w:color w:val="000000"/>
                <w:sz w:val="20"/>
                <w:szCs w:val="20"/>
              </w:rPr>
              <w:t>Implied multiple at $3.0M</w:t>
            </w:r>
          </w:p>
        </w:tc>
        <w:tc>
          <w:tcPr>
            <w:tcW w:w="5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8FABC7" w14:textId="77777777" w:rsidR="00796B66" w:rsidRDefault="00000000">
            <w:r>
              <w:rPr>
                <w:color w:val="000000"/>
                <w:sz w:val="20"/>
                <w:szCs w:val="20"/>
              </w:rPr>
              <w:t>~5.4x steady-state adjusted EBITDA</w:t>
            </w:r>
          </w:p>
        </w:tc>
      </w:tr>
      <w:tr w:rsidR="00796B66" w14:paraId="67F5F44B"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B22EF9A" w14:textId="77777777" w:rsidR="00796B66" w:rsidRDefault="00000000">
            <w:r>
              <w:rPr>
                <w:color w:val="000000"/>
                <w:sz w:val="20"/>
                <w:szCs w:val="20"/>
              </w:rPr>
              <w:t>Client concentration</w:t>
            </w:r>
          </w:p>
        </w:tc>
        <w:tc>
          <w:tcPr>
            <w:tcW w:w="5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4ECC07" w14:textId="77777777" w:rsidR="00796B66" w:rsidRDefault="00000000">
            <w:r>
              <w:rPr>
                <w:color w:val="000000"/>
                <w:sz w:val="20"/>
                <w:szCs w:val="20"/>
              </w:rPr>
              <w:t>Top 20 clients = 32.3% of revenue ($998K); top 5 = ~$434K</w:t>
            </w:r>
          </w:p>
        </w:tc>
      </w:tr>
      <w:tr w:rsidR="00796B66" w14:paraId="3292F165"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A9D396" w14:textId="77777777" w:rsidR="00796B66" w:rsidRDefault="00000000">
            <w:r>
              <w:rPr>
                <w:color w:val="000000"/>
                <w:sz w:val="20"/>
                <w:szCs w:val="20"/>
              </w:rPr>
              <w:t>Pricing trend</w:t>
            </w:r>
          </w:p>
        </w:tc>
        <w:tc>
          <w:tcPr>
            <w:tcW w:w="5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270260" w14:textId="77777777" w:rsidR="00796B66" w:rsidRDefault="00000000">
            <w:r>
              <w:rPr>
                <w:color w:val="000000"/>
                <w:sz w:val="20"/>
                <w:szCs w:val="20"/>
              </w:rPr>
              <w:t>Average annual fees per client up 22% since January 2025</w:t>
            </w:r>
          </w:p>
        </w:tc>
      </w:tr>
      <w:tr w:rsidR="00796B66" w14:paraId="2675C6C8"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A438556" w14:textId="77777777" w:rsidR="00796B66" w:rsidRDefault="00000000">
            <w:r>
              <w:rPr>
                <w:color w:val="000000"/>
                <w:sz w:val="20"/>
                <w:szCs w:val="20"/>
              </w:rPr>
              <w:t>Client base</w:t>
            </w:r>
          </w:p>
        </w:tc>
        <w:tc>
          <w:tcPr>
            <w:tcW w:w="5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5EFF53" w14:textId="77777777" w:rsidR="00796B66" w:rsidRDefault="00000000">
            <w:r>
              <w:rPr>
                <w:color w:val="000000"/>
                <w:sz w:val="20"/>
                <w:szCs w:val="20"/>
              </w:rPr>
              <w:t>190 active clients today; 94 wins vs. 82 losses over the LTM; down from a peak of 209 in April 2026</w:t>
            </w:r>
          </w:p>
        </w:tc>
      </w:tr>
      <w:tr w:rsidR="00796B66" w14:paraId="62F38526"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579FE8" w14:textId="77777777" w:rsidR="00796B66" w:rsidRDefault="00000000">
            <w:r>
              <w:rPr>
                <w:color w:val="000000"/>
                <w:sz w:val="20"/>
                <w:szCs w:val="20"/>
              </w:rPr>
              <w:t>Staffing load</w:t>
            </w:r>
          </w:p>
        </w:tc>
        <w:tc>
          <w:tcPr>
            <w:tcW w:w="5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9E3211" w14:textId="77777777" w:rsidR="00796B66" w:rsidRDefault="00000000">
            <w:r>
              <w:rPr>
                <w:color w:val="000000"/>
                <w:sz w:val="20"/>
                <w:szCs w:val="20"/>
              </w:rPr>
              <w:t>Clients per bookkeeper down from ~11 to ~4.5</w:t>
            </w:r>
          </w:p>
        </w:tc>
      </w:tr>
      <w:tr w:rsidR="00796B66" w14:paraId="1284BE48"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347EDE1" w14:textId="77777777" w:rsidR="00796B66" w:rsidRDefault="00000000">
            <w:r>
              <w:rPr>
                <w:color w:val="000000"/>
                <w:sz w:val="20"/>
                <w:szCs w:val="20"/>
              </w:rPr>
              <w:t>Employee turnover</w:t>
            </w:r>
          </w:p>
        </w:tc>
        <w:tc>
          <w:tcPr>
            <w:tcW w:w="5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97D99DE" w14:textId="77777777" w:rsidR="00796B66" w:rsidRDefault="00000000">
            <w:r>
              <w:rPr>
                <w:color w:val="000000"/>
                <w:sz w:val="20"/>
                <w:szCs w:val="20"/>
              </w:rPr>
              <w:t>24 departures since May 2026 (~28% of the team), 8 with 6+ months of tenure</w:t>
            </w:r>
          </w:p>
        </w:tc>
      </w:tr>
    </w:tbl>
    <w:p w14:paraId="09848176" w14:textId="77777777" w:rsidR="00796B66" w:rsidRDefault="00000000">
      <w:pPr>
        <w:pStyle w:val="Heading1"/>
        <w:keepNext/>
        <w:spacing w:before="300" w:after="120"/>
      </w:pPr>
      <w:r>
        <w:rPr>
          <w:b/>
          <w:bCs/>
          <w:color w:val="7B0000"/>
          <w:sz w:val="34"/>
          <w:szCs w:val="34"/>
        </w:rPr>
        <w:lastRenderedPageBreak/>
        <w:t>Investment Highlights</w:t>
      </w:r>
    </w:p>
    <w:p w14:paraId="3B675346" w14:textId="77777777" w:rsidR="00796B66" w:rsidRDefault="00000000">
      <w:pPr>
        <w:pStyle w:val="ListParagraph"/>
        <w:numPr>
          <w:ilvl w:val="0"/>
          <w:numId w:val="2"/>
        </w:numPr>
        <w:spacing w:after="60" w:line="252" w:lineRule="auto"/>
      </w:pPr>
      <w:r>
        <w:rPr>
          <w:b/>
          <w:bCs/>
          <w:color w:val="000000"/>
        </w:rPr>
        <w:t>Rapid growth.</w:t>
      </w:r>
      <w:r>
        <w:rPr>
          <w:color w:val="000000"/>
        </w:rPr>
        <w:t xml:space="preserve"> Revenue grew 66% in FY2025 (from $1.14M to $1.88M), and LTM revenue through July 2026 is up 68% to $2.55M.</w:t>
      </w:r>
    </w:p>
    <w:p w14:paraId="05F2823E" w14:textId="77777777" w:rsidR="00796B66" w:rsidRDefault="00000000">
      <w:pPr>
        <w:pStyle w:val="ListParagraph"/>
        <w:numPr>
          <w:ilvl w:val="0"/>
          <w:numId w:val="2"/>
        </w:numPr>
        <w:spacing w:after="60" w:line="252" w:lineRule="auto"/>
      </w:pPr>
      <w:r>
        <w:rPr>
          <w:b/>
          <w:bCs/>
          <w:color w:val="000000"/>
        </w:rPr>
        <w:t>Tech-forward operator.</w:t>
      </w:r>
      <w:r>
        <w:rPr>
          <w:color w:val="000000"/>
        </w:rPr>
        <w:t xml:space="preserve"> Keystone has developed, or is developing, in-house replacements for Xenett, Uncat, and Karbon, and has invested roughly $73K in development over the LTM.</w:t>
      </w:r>
    </w:p>
    <w:p w14:paraId="437B47E2" w14:textId="77777777" w:rsidR="00796B66" w:rsidRDefault="00000000">
      <w:pPr>
        <w:pStyle w:val="ListParagraph"/>
        <w:numPr>
          <w:ilvl w:val="0"/>
          <w:numId w:val="2"/>
        </w:numPr>
        <w:spacing w:after="60" w:line="252" w:lineRule="auto"/>
      </w:pPr>
      <w:r>
        <w:rPr>
          <w:b/>
          <w:bCs/>
          <w:color w:val="000000"/>
        </w:rPr>
        <w:t>Fully virtual with an offshore team,</w:t>
      </w:r>
      <w:r>
        <w:rPr>
          <w:color w:val="000000"/>
        </w:rPr>
        <w:t xml:space="preserve"> which creates meaningful and durable payroll advantages. Average compensation is roughly $12K for a bookkeeper and $24K for a client lead.</w:t>
      </w:r>
    </w:p>
    <w:p w14:paraId="6B818E41" w14:textId="77777777" w:rsidR="00796B66" w:rsidRDefault="00000000">
      <w:pPr>
        <w:pStyle w:val="ListParagraph"/>
        <w:numPr>
          <w:ilvl w:val="0"/>
          <w:numId w:val="2"/>
        </w:numPr>
        <w:spacing w:after="60" w:line="252" w:lineRule="auto"/>
      </w:pPr>
      <w:r>
        <w:rPr>
          <w:b/>
          <w:bCs/>
          <w:color w:val="000000"/>
        </w:rPr>
        <w:t>Niche specialization</w:t>
      </w:r>
      <w:r>
        <w:rPr>
          <w:color w:val="000000"/>
        </w:rPr>
        <w:t xml:space="preserve"> in property management and short-term rental accounting. STR Subscription revenue is $2.41M on a pro forma basis (82% of recurring revenue), and the vertical aligns directly with Topkey’s product.</w:t>
      </w:r>
    </w:p>
    <w:p w14:paraId="643B35B1" w14:textId="77777777" w:rsidR="00796B66" w:rsidRDefault="00000000">
      <w:pPr>
        <w:pStyle w:val="ListParagraph"/>
        <w:numPr>
          <w:ilvl w:val="0"/>
          <w:numId w:val="2"/>
        </w:numPr>
        <w:spacing w:after="60" w:line="252" w:lineRule="auto"/>
      </w:pPr>
      <w:r>
        <w:rPr>
          <w:b/>
          <w:bCs/>
          <w:color w:val="000000"/>
        </w:rPr>
        <w:t>Expanding service lines.</w:t>
      </w:r>
      <w:r>
        <w:rPr>
          <w:color w:val="000000"/>
        </w:rPr>
        <w:t xml:space="preserve"> Occupancy Taxes (~$193K pro forma, +56%), Topkey Subscription (~$95K), and STR Bill Pay (~$83K) add recurring revenue on top of core bookkeeping.</w:t>
      </w:r>
    </w:p>
    <w:p w14:paraId="4E87BEA9" w14:textId="77777777" w:rsidR="00796B66" w:rsidRDefault="00000000">
      <w:pPr>
        <w:pStyle w:val="ListParagraph"/>
        <w:numPr>
          <w:ilvl w:val="0"/>
          <w:numId w:val="2"/>
        </w:numPr>
        <w:spacing w:after="60" w:line="252" w:lineRule="auto"/>
      </w:pPr>
      <w:r>
        <w:rPr>
          <w:b/>
          <w:bCs/>
          <w:color w:val="000000"/>
        </w:rPr>
        <w:t>Pod staffing model</w:t>
      </w:r>
      <w:r>
        <w:rPr>
          <w:color w:val="000000"/>
        </w:rPr>
        <w:t xml:space="preserve"> with senior leadership roles built in and a dedicated onboarding manager being hired.</w:t>
      </w:r>
    </w:p>
    <w:p w14:paraId="48AA40CC" w14:textId="77777777" w:rsidR="00796B66" w:rsidRDefault="00000000">
      <w:pPr>
        <w:pStyle w:val="ListParagraph"/>
        <w:numPr>
          <w:ilvl w:val="0"/>
          <w:numId w:val="2"/>
        </w:numPr>
        <w:spacing w:after="60" w:line="252" w:lineRule="auto"/>
      </w:pPr>
      <w:r>
        <w:rPr>
          <w:b/>
          <w:bCs/>
          <w:color w:val="000000"/>
        </w:rPr>
        <w:t>Capable, invested owner.</w:t>
      </w:r>
      <w:r>
        <w:rPr>
          <w:color w:val="000000"/>
        </w:rPr>
        <w:t xml:space="preserve"> Ben has built the infrastructure a larger platform needs and has signaled interest in continuing to grow the business.</w:t>
      </w:r>
    </w:p>
    <w:p w14:paraId="46849F10" w14:textId="77777777" w:rsidR="00796B66" w:rsidRDefault="00000000">
      <w:pPr>
        <w:pStyle w:val="Heading1"/>
        <w:keepNext/>
        <w:spacing w:before="300" w:after="120"/>
      </w:pPr>
      <w:r>
        <w:rPr>
          <w:b/>
          <w:bCs/>
          <w:color w:val="7B0000"/>
          <w:sz w:val="34"/>
          <w:szCs w:val="34"/>
        </w:rPr>
        <w:t>Client Data Findings</w:t>
      </w:r>
    </w:p>
    <w:p w14:paraId="68D6F131" w14:textId="77777777" w:rsidR="00796B66" w:rsidRDefault="00000000">
      <w:pPr>
        <w:pStyle w:val="Heading2"/>
        <w:keepNext/>
        <w:spacing w:before="200" w:after="80"/>
      </w:pPr>
      <w:r>
        <w:rPr>
          <w:b/>
          <w:bCs/>
          <w:color w:val="7B0000"/>
          <w:sz w:val="25"/>
          <w:szCs w:val="25"/>
        </w:rPr>
        <w:t>Concentration is above average</w:t>
      </w:r>
    </w:p>
    <w:p w14:paraId="18EFD07A" w14:textId="77777777" w:rsidR="00796B66" w:rsidRDefault="00000000">
      <w:pPr>
        <w:spacing w:after="120" w:line="264" w:lineRule="auto"/>
      </w:pPr>
      <w:r>
        <w:rPr>
          <w:color w:val="000000"/>
        </w:rPr>
        <w:t>The top 20 clients represent 32.3% of total revenue ($998K), and the top 5 clients alone contribute approximately $434K. The largest client is 3.6% of revenue, and five clients each exceed 2%. For context, in comparable recurring-service businesses a single client is typically around 1% of revenue; 2% is elevated and 3% is high. Losing one large account would require winning four or five average clients to replace it.</w:t>
      </w:r>
    </w:p>
    <w:p w14:paraId="431D8C78" w14:textId="77777777" w:rsidR="00796B66" w:rsidRDefault="00000000">
      <w:pPr>
        <w:spacing w:after="120" w:line="264" w:lineRule="auto"/>
      </w:pPr>
      <w:r>
        <w:rPr>
          <w:color w:val="000000"/>
        </w:rPr>
        <w:t>Some of this concentration comes from recent wins. Three of the six largest clients joined within the last few months, so they have no retention track record yet. Ben is also still personally involved in servicing fractional CFO relationships (approximately $183K combined), and the top 20 list shows him as manager on one top-five account (~$75K). These relationships will need a transition plan so they do not remain dependent on Ben.</w:t>
      </w:r>
    </w:p>
    <w:p w14:paraId="5FA2C19E" w14:textId="77777777" w:rsidR="00796B66" w:rsidRDefault="00000000">
      <w:pPr>
        <w:pStyle w:val="Heading2"/>
        <w:keepNext/>
        <w:spacing w:before="200" w:after="80"/>
      </w:pPr>
      <w:r>
        <w:rPr>
          <w:b/>
          <w:bCs/>
          <w:color w:val="7B0000"/>
          <w:sz w:val="25"/>
          <w:szCs w:val="25"/>
        </w:rPr>
        <w:t>Pricing has improved steadily, which is a genuine strength</w:t>
      </w:r>
    </w:p>
    <w:p w14:paraId="01EAA511" w14:textId="77777777" w:rsidR="00796B66" w:rsidRDefault="00000000">
      <w:pPr>
        <w:spacing w:after="120" w:line="264" w:lineRule="auto"/>
      </w:pPr>
      <w:r>
        <w:rPr>
          <w:color w:val="000000"/>
        </w:rPr>
        <w:t>Between January 2025 and today, average annual fees per client have increased 22%. The increase has been steady month over month rather than a one-time step up, which indicates Ben has been deliberately shifting the book toward higher-value clients rather than simply passing through annual price increases.</w:t>
      </w:r>
    </w:p>
    <w:p w14:paraId="21CB2869" w14:textId="77777777" w:rsidR="00796B66" w:rsidRDefault="00000000">
      <w:pPr>
        <w:spacing w:after="120" w:line="264" w:lineRule="auto"/>
      </w:pPr>
      <w:r>
        <w:rPr>
          <w:color w:val="000000"/>
        </w:rPr>
        <w:t xml:space="preserve">The churn data supports this. Current clients average about $1,381 in monthly fees, compared with about $638 for former clients, so departures have been concentrated among smaller accounts. </w:t>
      </w:r>
      <w:r>
        <w:rPr>
          <w:color w:val="000000"/>
        </w:rPr>
        <w:lastRenderedPageBreak/>
        <w:t>Keystone is also exiting the small business segment: it has not won a small business client since FY2024, and SMB Subscription revenue falls from $133K LTM to about $16K on a pro forma basis.</w:t>
      </w:r>
    </w:p>
    <w:p w14:paraId="09DA1692" w14:textId="77777777" w:rsidR="00796B66" w:rsidRDefault="00000000">
      <w:pPr>
        <w:pBdr>
          <w:left w:val="single" w:sz="24" w:space="8" w:color="990033"/>
        </w:pBdr>
        <w:shd w:val="clear" w:color="auto" w:fill="F7EBEF"/>
        <w:spacing w:before="120" w:after="160" w:line="264" w:lineRule="auto"/>
        <w:ind w:left="180" w:right="120"/>
      </w:pPr>
      <w:r>
        <w:rPr>
          <w:b/>
          <w:bCs/>
          <w:color w:val="7B0000"/>
        </w:rPr>
        <w:t xml:space="preserve">Takeaway:  </w:t>
      </w:r>
      <w:r>
        <w:rPr>
          <w:color w:val="000000"/>
        </w:rPr>
        <w:t>Client churn is real, but Keystone has been trading up. The client base today is higher quality and higher value than it was two years ago.</w:t>
      </w:r>
    </w:p>
    <w:p w14:paraId="0EA0A207" w14:textId="77777777" w:rsidR="00796B66" w:rsidRDefault="00000000">
      <w:pPr>
        <w:pStyle w:val="Heading2"/>
        <w:keepNext/>
        <w:spacing w:before="200" w:after="80"/>
      </w:pPr>
      <w:r>
        <w:rPr>
          <w:b/>
          <w:bCs/>
          <w:color w:val="7B0000"/>
          <w:sz w:val="25"/>
          <w:szCs w:val="25"/>
        </w:rPr>
        <w:t>Client growth has slowed since spring</w:t>
      </w:r>
    </w:p>
    <w:p w14:paraId="4374A8DB" w14:textId="77777777" w:rsidR="00796B66" w:rsidRDefault="00000000">
      <w:pPr>
        <w:spacing w:after="120" w:line="264" w:lineRule="auto"/>
      </w:pPr>
      <w:r>
        <w:rPr>
          <w:color w:val="000000"/>
        </w:rPr>
        <w:t>Since January 2025, property manager, STR owner, and short-term rental clients have increased 57%, from 113 to 177 (+64). Total clients grew from 145 to 190 (+31%). Over the same period, headcount roughly doubled from 43 to 87, and LTM payroll rose 76% (from $981K to $1.72M). Headcount has grown materially faster than the client base.</w:t>
      </w:r>
    </w:p>
    <w:p w14:paraId="6D7EA9E1" w14:textId="77777777" w:rsidR="00796B66" w:rsidRDefault="00000000">
      <w:pPr>
        <w:spacing w:after="120" w:line="264" w:lineRule="auto"/>
      </w:pPr>
      <w:r>
        <w:rPr>
          <w:color w:val="000000"/>
        </w:rPr>
        <w:t>Momentum has softened recently. The client count peaked at 209 in April 2026 and stands at 190 today. Over the LTM, Keystone won 94 clients and lost 82, and losses spiked in May (16 clients), the same month resignations began to rise. Some former clients are missing end dates in the source data, so recent-month losses may be understated. We would like to confirm the current trend and pipeline with Ben.</w:t>
      </w:r>
    </w:p>
    <w:p w14:paraId="2F481227" w14:textId="77777777" w:rsidR="00796B66" w:rsidRDefault="00000000">
      <w:pPr>
        <w:pStyle w:val="Heading2"/>
        <w:keepNext/>
        <w:spacing w:before="200" w:after="80"/>
      </w:pPr>
      <w:r>
        <w:rPr>
          <w:b/>
          <w:bCs/>
          <w:color w:val="7B0000"/>
          <w:sz w:val="25"/>
          <w:szCs w:val="25"/>
        </w:rPr>
        <w:t>Unit economics</w:t>
      </w:r>
    </w:p>
    <w:p w14:paraId="7AED2DEB" w14:textId="77777777" w:rsidR="00796B66" w:rsidRDefault="00000000">
      <w:pPr>
        <w:spacing w:after="120" w:line="264" w:lineRule="auto"/>
      </w:pPr>
      <w:r>
        <w:rPr>
          <w:color w:val="000000"/>
        </w:rPr>
        <w:t>As of September 2026, a non-tax client generates approximately $16.6K per year on average. Against that, a bookkeeper costs roughly $12K per year, a client lead roughly $24K, and an accounting manager roughly $116K. Because staff are paid a fixed amount, margin per client depends almost entirely on how many clients each person carries.</w:t>
      </w:r>
    </w:p>
    <w:p w14:paraId="780782B5" w14:textId="77777777" w:rsidR="00796B66" w:rsidRDefault="00000000">
      <w:pPr>
        <w:spacing w:after="120" w:line="264" w:lineRule="auto"/>
      </w:pPr>
      <w:r>
        <w:rPr>
          <w:color w:val="000000"/>
        </w:rPr>
        <w:t>As loads have fallen, the direct labor cost to service each client has risen sharply:</w:t>
      </w:r>
    </w:p>
    <w:p w14:paraId="532E6126" w14:textId="77777777" w:rsidR="00796B66" w:rsidRDefault="00000000">
      <w:pPr>
        <w:pStyle w:val="ListParagraph"/>
        <w:numPr>
          <w:ilvl w:val="0"/>
          <w:numId w:val="2"/>
        </w:numPr>
        <w:spacing w:after="60" w:line="252" w:lineRule="auto"/>
      </w:pPr>
      <w:r>
        <w:rPr>
          <w:color w:val="000000"/>
        </w:rPr>
        <w:t>Total bookkeeper, client lead, and accounting manager cost per client rose from about $4.1K in January 2025 to about $7.7K in September 2026.</w:t>
      </w:r>
    </w:p>
    <w:p w14:paraId="3551D156" w14:textId="77777777" w:rsidR="00796B66" w:rsidRDefault="00000000">
      <w:pPr>
        <w:pStyle w:val="ListParagraph"/>
        <w:numPr>
          <w:ilvl w:val="0"/>
          <w:numId w:val="2"/>
        </w:numPr>
        <w:spacing w:after="60" w:line="252" w:lineRule="auto"/>
      </w:pPr>
      <w:r>
        <w:rPr>
          <w:color w:val="000000"/>
        </w:rPr>
        <w:t>As a share of average client revenue, that cost increased from about 34% to about 46%, even as average fees rose.</w:t>
      </w:r>
    </w:p>
    <w:p w14:paraId="1ED8A49D" w14:textId="77777777" w:rsidR="00796B66" w:rsidRDefault="00000000">
      <w:pPr>
        <w:pStyle w:val="ListParagraph"/>
        <w:numPr>
          <w:ilvl w:val="0"/>
          <w:numId w:val="2"/>
        </w:numPr>
        <w:spacing w:after="60" w:line="252" w:lineRule="auto"/>
      </w:pPr>
      <w:r>
        <w:rPr>
          <w:color w:val="000000"/>
        </w:rPr>
        <w:t>Bookkeeper cost per client more than doubled, from $1.1K to $2.7K.</w:t>
      </w:r>
    </w:p>
    <w:p w14:paraId="782FE2BD" w14:textId="77777777" w:rsidR="00796B66" w:rsidRDefault="00000000">
      <w:pPr>
        <w:pStyle w:val="ListParagraph"/>
        <w:numPr>
          <w:ilvl w:val="0"/>
          <w:numId w:val="2"/>
        </w:numPr>
        <w:spacing w:after="60" w:line="252" w:lineRule="auto"/>
      </w:pPr>
      <w:r>
        <w:rPr>
          <w:color w:val="000000"/>
        </w:rPr>
        <w:t>Accounting manager cost per client roughly tripled, from $0.8K to $2.6K, as that team grew from one to four people.</w:t>
      </w:r>
    </w:p>
    <w:p w14:paraId="601A6658" w14:textId="77777777" w:rsidR="00796B66" w:rsidRDefault="00000000">
      <w:pPr>
        <w:pStyle w:val="ListParagraph"/>
        <w:numPr>
          <w:ilvl w:val="0"/>
          <w:numId w:val="2"/>
        </w:numPr>
        <w:spacing w:after="60" w:line="252" w:lineRule="auto"/>
      </w:pPr>
      <w:r>
        <w:rPr>
          <w:color w:val="000000"/>
        </w:rPr>
        <w:t>Client lead cost per client has held roughly flat, at about $2.2K–$2.3K.</w:t>
      </w:r>
    </w:p>
    <w:p w14:paraId="6FD51735" w14:textId="77777777" w:rsidR="00796B66" w:rsidRDefault="00000000">
      <w:pPr>
        <w:pStyle w:val="Heading2"/>
        <w:keepNext/>
        <w:spacing w:before="200" w:after="80"/>
      </w:pPr>
      <w:r>
        <w:rPr>
          <w:b/>
          <w:bCs/>
          <w:color w:val="7B0000"/>
          <w:sz w:val="25"/>
          <w:szCs w:val="25"/>
        </w:rPr>
        <w:t>Software stack penetration</w:t>
      </w:r>
    </w:p>
    <w:p w14:paraId="5CE832E7" w14:textId="77777777" w:rsidR="00796B66" w:rsidRDefault="00000000">
      <w:pPr>
        <w:spacing w:after="120" w:line="264" w:lineRule="auto"/>
      </w:pPr>
      <w:r>
        <w:rPr>
          <w:color w:val="000000"/>
        </w:rPr>
        <w:t>Among Keystone’s 174 current clients in the software data:</w:t>
      </w:r>
    </w:p>
    <w:p w14:paraId="52F5C26D" w14:textId="77777777" w:rsidR="00796B66" w:rsidRDefault="00000000">
      <w:pPr>
        <w:pStyle w:val="ListParagraph"/>
        <w:numPr>
          <w:ilvl w:val="0"/>
          <w:numId w:val="2"/>
        </w:numPr>
        <w:spacing w:after="60" w:line="252" w:lineRule="auto"/>
      </w:pPr>
      <w:r>
        <w:rPr>
          <w:b/>
          <w:bCs/>
          <w:color w:val="000000"/>
        </w:rPr>
        <w:t>Topkey</w:t>
      </w:r>
      <w:r>
        <w:rPr>
          <w:color w:val="000000"/>
        </w:rPr>
        <w:t xml:space="preserve"> is used as the expense tool by 48 clients (28%), covering 1,841 properties (about half of all properties). These are the largest accounts, averaging about $2,389 in monthly fees. Another 114 current clients use no expense tool, which is an upside opportunity if Topkey can serve smaller clients.</w:t>
      </w:r>
    </w:p>
    <w:p w14:paraId="3930A8C3" w14:textId="77777777" w:rsidR="00796B66" w:rsidRDefault="00000000">
      <w:pPr>
        <w:pStyle w:val="ListParagraph"/>
        <w:numPr>
          <w:ilvl w:val="0"/>
          <w:numId w:val="2"/>
        </w:numPr>
        <w:spacing w:after="60" w:line="252" w:lineRule="auto"/>
      </w:pPr>
      <w:r>
        <w:rPr>
          <w:b/>
          <w:bCs/>
          <w:color w:val="000000"/>
        </w:rPr>
        <w:t>Bill Pay</w:t>
      </w:r>
      <w:r>
        <w:rPr>
          <w:color w:val="000000"/>
        </w:rPr>
        <w:t xml:space="preserve"> is designated for 41 clients. Their average monthly fee of about $2,012 is roughly 1.7x that of non-Bill Pay clients (about $1,186).</w:t>
      </w:r>
    </w:p>
    <w:p w14:paraId="1AC72087" w14:textId="77777777" w:rsidR="00796B66" w:rsidRDefault="00000000">
      <w:pPr>
        <w:pStyle w:val="ListParagraph"/>
        <w:numPr>
          <w:ilvl w:val="0"/>
          <w:numId w:val="2"/>
        </w:numPr>
        <w:spacing w:after="60" w:line="252" w:lineRule="auto"/>
      </w:pPr>
      <w:r>
        <w:rPr>
          <w:b/>
          <w:bCs/>
          <w:color w:val="000000"/>
        </w:rPr>
        <w:t>VR Platform</w:t>
      </w:r>
      <w:r>
        <w:rPr>
          <w:color w:val="000000"/>
        </w:rPr>
        <w:t xml:space="preserve"> trust accounting is used by 153 clients across roughly 3,650 properties, and represents $161K of LTM spend. This is the single largest software cost.</w:t>
      </w:r>
    </w:p>
    <w:p w14:paraId="64378CCB" w14:textId="77777777" w:rsidR="00796B66" w:rsidRDefault="00000000">
      <w:pPr>
        <w:pStyle w:val="ListParagraph"/>
        <w:numPr>
          <w:ilvl w:val="0"/>
          <w:numId w:val="2"/>
        </w:numPr>
        <w:spacing w:after="60" w:line="252" w:lineRule="auto"/>
      </w:pPr>
      <w:r>
        <w:rPr>
          <w:b/>
          <w:bCs/>
          <w:color w:val="000000"/>
        </w:rPr>
        <w:lastRenderedPageBreak/>
        <w:t>Property management systems</w:t>
      </w:r>
      <w:r>
        <w:rPr>
          <w:color w:val="000000"/>
        </w:rPr>
        <w:t xml:space="preserve"> are fragmented: Guesty (51 clients), Hospitable (48), OwnerRez (24), Hostaway (20), and several others.</w:t>
      </w:r>
    </w:p>
    <w:p w14:paraId="422138F7" w14:textId="77777777" w:rsidR="00796B66" w:rsidRDefault="00000000">
      <w:pPr>
        <w:pStyle w:val="ListParagraph"/>
        <w:numPr>
          <w:ilvl w:val="0"/>
          <w:numId w:val="2"/>
        </w:numPr>
        <w:spacing w:after="60" w:line="252" w:lineRule="auto"/>
      </w:pPr>
      <w:r>
        <w:rPr>
          <w:b/>
          <w:bCs/>
          <w:color w:val="000000"/>
        </w:rPr>
        <w:t>Target vendors</w:t>
      </w:r>
      <w:r>
        <w:rPr>
          <w:color w:val="000000"/>
        </w:rPr>
        <w:t xml:space="preserve"> (VR Platform, Karbon, Uncat, and Xenett) account for about $270K, or 58%, of Keystone’s $462K in LTM software vendor spend.</w:t>
      </w:r>
    </w:p>
    <w:p w14:paraId="0F9320D1" w14:textId="77777777" w:rsidR="00796B66" w:rsidRDefault="00000000">
      <w:pPr>
        <w:spacing w:after="120" w:line="264" w:lineRule="auto"/>
      </w:pPr>
      <w:r>
        <w:rPr>
          <w:color w:val="000000"/>
        </w:rPr>
        <w:t xml:space="preserve">Our pro forma does </w:t>
      </w:r>
      <w:r>
        <w:rPr>
          <w:b/>
          <w:bCs/>
          <w:color w:val="000000"/>
        </w:rPr>
        <w:t>not</w:t>
      </w:r>
      <w:r>
        <w:rPr>
          <w:color w:val="000000"/>
        </w:rPr>
        <w:t xml:space="preserve"> assume Topkey replaces property management systems or Bill Pay, nor that Topkey is sold into clients not already using it. Each is incremental upside.</w:t>
      </w:r>
    </w:p>
    <w:p w14:paraId="1A5EB789" w14:textId="77777777" w:rsidR="00796B66" w:rsidRDefault="00000000">
      <w:pPr>
        <w:spacing w:after="120" w:line="264" w:lineRule="auto"/>
      </w:pPr>
      <w:r>
        <w:rPr>
          <w:i/>
          <w:iCs/>
          <w:color w:val="000000"/>
          <w:sz w:val="20"/>
          <w:szCs w:val="20"/>
        </w:rPr>
        <w:t>Note: the software data covers 174 current clients, while the retention analysis shows 190 active clients; the difference should be reconciled with Keystone.</w:t>
      </w:r>
    </w:p>
    <w:p w14:paraId="3EB3D2CB" w14:textId="77777777" w:rsidR="00796B66" w:rsidRDefault="00000000">
      <w:pPr>
        <w:pStyle w:val="Heading1"/>
        <w:keepNext/>
        <w:spacing w:before="300" w:after="120"/>
      </w:pPr>
      <w:r>
        <w:rPr>
          <w:b/>
          <w:bCs/>
          <w:color w:val="7B0000"/>
          <w:sz w:val="34"/>
          <w:szCs w:val="34"/>
        </w:rPr>
        <w:t>Employee Data Findings</w:t>
      </w:r>
    </w:p>
    <w:p w14:paraId="13AA8F4A" w14:textId="77777777" w:rsidR="00796B66" w:rsidRDefault="00000000">
      <w:pPr>
        <w:pStyle w:val="Heading2"/>
        <w:keepNext/>
        <w:spacing w:before="200" w:after="80"/>
      </w:pPr>
      <w:r>
        <w:rPr>
          <w:b/>
          <w:bCs/>
          <w:color w:val="7B0000"/>
          <w:sz w:val="25"/>
          <w:szCs w:val="25"/>
        </w:rPr>
        <w:t>Turnover has accelerated since May</w:t>
      </w:r>
    </w:p>
    <w:p w14:paraId="1147BFAF" w14:textId="77777777" w:rsidR="00796B66" w:rsidRDefault="00000000">
      <w:pPr>
        <w:spacing w:after="120" w:line="264" w:lineRule="auto"/>
      </w:pPr>
      <w:r>
        <w:rPr>
          <w:color w:val="000000"/>
        </w:rPr>
        <w:t>Keystone has lost 24 employees since May 2026, about 28% of the 87-person team. Eight of them had six or more months of tenure (about 9% of the team). The departures included:</w:t>
      </w:r>
    </w:p>
    <w:p w14:paraId="08916017" w14:textId="77777777" w:rsidR="00796B66" w:rsidRDefault="00000000">
      <w:pPr>
        <w:pStyle w:val="ListParagraph"/>
        <w:numPr>
          <w:ilvl w:val="0"/>
          <w:numId w:val="2"/>
        </w:numPr>
        <w:spacing w:after="60" w:line="252" w:lineRule="auto"/>
      </w:pPr>
      <w:r>
        <w:rPr>
          <w:color w:val="000000"/>
        </w:rPr>
        <w:t>11 bookkeepers</w:t>
      </w:r>
    </w:p>
    <w:p w14:paraId="4C1FF8B8" w14:textId="77777777" w:rsidR="00796B66" w:rsidRDefault="00000000">
      <w:pPr>
        <w:pStyle w:val="ListParagraph"/>
        <w:numPr>
          <w:ilvl w:val="0"/>
          <w:numId w:val="2"/>
        </w:numPr>
        <w:spacing w:after="60" w:line="252" w:lineRule="auto"/>
      </w:pPr>
      <w:r>
        <w:rPr>
          <w:color w:val="000000"/>
        </w:rPr>
        <w:t>6 onboarding personnel</w:t>
      </w:r>
    </w:p>
    <w:p w14:paraId="019584B0" w14:textId="77777777" w:rsidR="00796B66" w:rsidRDefault="00000000">
      <w:pPr>
        <w:pStyle w:val="ListParagraph"/>
        <w:numPr>
          <w:ilvl w:val="0"/>
          <w:numId w:val="2"/>
        </w:numPr>
        <w:spacing w:after="60" w:line="252" w:lineRule="auto"/>
      </w:pPr>
      <w:r>
        <w:rPr>
          <w:color w:val="000000"/>
        </w:rPr>
        <w:t>4 client leads</w:t>
      </w:r>
    </w:p>
    <w:p w14:paraId="600FFF3F" w14:textId="77777777" w:rsidR="00796B66" w:rsidRDefault="00000000">
      <w:pPr>
        <w:pStyle w:val="ListParagraph"/>
        <w:numPr>
          <w:ilvl w:val="0"/>
          <w:numId w:val="2"/>
        </w:numPr>
        <w:spacing w:after="60" w:line="252" w:lineRule="auto"/>
      </w:pPr>
      <w:r>
        <w:rPr>
          <w:color w:val="000000"/>
        </w:rPr>
        <w:t>1 accounting manager</w:t>
      </w:r>
    </w:p>
    <w:p w14:paraId="60BFED47" w14:textId="77777777" w:rsidR="00796B66" w:rsidRDefault="00000000">
      <w:pPr>
        <w:pStyle w:val="ListParagraph"/>
        <w:numPr>
          <w:ilvl w:val="0"/>
          <w:numId w:val="2"/>
        </w:numPr>
        <w:spacing w:after="60" w:line="252" w:lineRule="auto"/>
      </w:pPr>
      <w:r>
        <w:rPr>
          <w:color w:val="000000"/>
        </w:rPr>
        <w:t>1 tax employee</w:t>
      </w:r>
    </w:p>
    <w:p w14:paraId="3DFE967C" w14:textId="77777777" w:rsidR="00796B66" w:rsidRDefault="00000000">
      <w:pPr>
        <w:pStyle w:val="ListParagraph"/>
        <w:numPr>
          <w:ilvl w:val="0"/>
          <w:numId w:val="2"/>
        </w:numPr>
        <w:spacing w:after="60" w:line="252" w:lineRule="auto"/>
      </w:pPr>
      <w:r>
        <w:rPr>
          <w:color w:val="000000"/>
        </w:rPr>
        <w:t>1 administrative employee</w:t>
      </w:r>
    </w:p>
    <w:p w14:paraId="6ADFD6C8" w14:textId="77777777" w:rsidR="00796B66" w:rsidRDefault="00000000">
      <w:pPr>
        <w:spacing w:after="120" w:line="264" w:lineRule="auto"/>
      </w:pPr>
      <w:r>
        <w:rPr>
          <w:color w:val="000000"/>
        </w:rPr>
        <w:t>Twenty-four exits in roughly four months equals the total for all of 2025. Over the LTM, Keystone hired 59 people and lost 35, and annual employee churn has run between 34% and 47%. The loss of tenured, client-facing personnel is the most concerning element of the data.</w:t>
      </w:r>
    </w:p>
    <w:p w14:paraId="283F984A" w14:textId="77777777" w:rsidR="00796B66" w:rsidRDefault="00000000">
      <w:pPr>
        <w:spacing w:after="120" w:line="264" w:lineRule="auto"/>
      </w:pPr>
      <w:r>
        <w:rPr>
          <w:color w:val="000000"/>
        </w:rPr>
        <w:t>On 8/10/2026, three of Keystone’s longest-tenured employees left on the same day: an accounting manager with about 3.7 years of tenure and two bookkeepers with nearly 3 years each. A fourth bookkeeper with more than a year of tenure resigned two days later, and two client leads resigned in early September. We would like to understand whether these departures reflect a single event, a competitor recruiting effort, or a manager departure that pulled others with them.</w:t>
      </w:r>
    </w:p>
    <w:p w14:paraId="2AC21C6F" w14:textId="77777777" w:rsidR="00796B66" w:rsidRDefault="00000000">
      <w:pPr>
        <w:pStyle w:val="Heading2"/>
        <w:keepNext/>
        <w:spacing w:before="200" w:after="80"/>
      </w:pPr>
      <w:r>
        <w:rPr>
          <w:b/>
          <w:bCs/>
          <w:color w:val="7B0000"/>
          <w:sz w:val="25"/>
          <w:szCs w:val="25"/>
        </w:rPr>
        <w:t>Much of the churn is by design</w:t>
      </w:r>
    </w:p>
    <w:p w14:paraId="73C9A816" w14:textId="77777777" w:rsidR="00796B66" w:rsidRDefault="00000000">
      <w:pPr>
        <w:spacing w:after="120" w:line="264" w:lineRule="auto"/>
      </w:pPr>
      <w:r>
        <w:rPr>
          <w:color w:val="000000"/>
        </w:rPr>
        <w:t>Keystone effectively screens candidates on the job rather than in the hiring process. Of the 51 employees who have left since January 2025, 26 were terminated, and 15 of those terminations occurred within the first 90 days. By tenure, 43% of all departures occurred within three months of hire and 63% within six months. Several 2026 hires were terminated within days or weeks of starting.</w:t>
      </w:r>
    </w:p>
    <w:p w14:paraId="1A424510" w14:textId="77777777" w:rsidR="00796B66" w:rsidRDefault="00000000">
      <w:pPr>
        <w:spacing w:after="120" w:line="264" w:lineRule="auto"/>
      </w:pPr>
      <w:r>
        <w:rPr>
          <w:color w:val="000000"/>
        </w:rPr>
        <w:t>This approach allows Keystone to identify fit quickly, but it consumes onboarding capacity and creates client handovers.</w:t>
      </w:r>
    </w:p>
    <w:p w14:paraId="7B602E08" w14:textId="77777777" w:rsidR="00796B66" w:rsidRDefault="00000000">
      <w:pPr>
        <w:pStyle w:val="Heading2"/>
        <w:keepNext/>
        <w:spacing w:before="200" w:after="80"/>
      </w:pPr>
      <w:r>
        <w:rPr>
          <w:b/>
          <w:bCs/>
          <w:color w:val="7B0000"/>
          <w:sz w:val="25"/>
          <w:szCs w:val="25"/>
        </w:rPr>
        <w:t>The mix is shifting toward voluntary departures</w:t>
      </w:r>
    </w:p>
    <w:p w14:paraId="33D2E417" w14:textId="77777777" w:rsidR="00796B66" w:rsidRDefault="00000000">
      <w:pPr>
        <w:spacing w:after="120" w:line="264" w:lineRule="auto"/>
      </w:pPr>
      <w:r>
        <w:rPr>
          <w:color w:val="000000"/>
        </w:rPr>
        <w:t xml:space="preserve">In 2025, Keystone had 17 terminations and 7 resignations. In 2026 to date, it has had 9 terminations, 15 resignations, and 3 unclassified departures. Resignations now include some of the company’s </w:t>
      </w:r>
      <w:r>
        <w:rPr>
          <w:color w:val="000000"/>
        </w:rPr>
        <w:lastRenderedPageBreak/>
        <w:t>most tenured staff. This is the pattern a stretched organization shows when it begins losing people it wanted to keep, and client losses spiked in the same period.</w:t>
      </w:r>
    </w:p>
    <w:p w14:paraId="3C851182" w14:textId="77777777" w:rsidR="00796B66" w:rsidRDefault="00000000">
      <w:pPr>
        <w:pBdr>
          <w:left w:val="single" w:sz="24" w:space="8" w:color="990033"/>
        </w:pBdr>
        <w:shd w:val="clear" w:color="auto" w:fill="F7EBEF"/>
        <w:spacing w:before="120" w:after="160" w:line="264" w:lineRule="auto"/>
        <w:ind w:left="180" w:right="120"/>
      </w:pPr>
      <w:r>
        <w:rPr>
          <w:b/>
          <w:bCs/>
          <w:color w:val="7B0000"/>
        </w:rPr>
        <w:t xml:space="preserve">Opportunity:  </w:t>
      </w:r>
      <w:r>
        <w:rPr>
          <w:color w:val="000000"/>
        </w:rPr>
        <w:t>Because most early departures happen inside 90 days, targeted retention programs (for example, stay bonuses at 90 days, six months, and twelve months, paired with tighter front-end screening) could materially stabilize the team. Cutting early turnover in half would meaningfully reduce onboarding cost and client disruption.</w:t>
      </w:r>
    </w:p>
    <w:p w14:paraId="57FD892F" w14:textId="77777777" w:rsidR="00796B66" w:rsidRDefault="00000000">
      <w:pPr>
        <w:pStyle w:val="Heading2"/>
        <w:keepNext/>
        <w:spacing w:before="200" w:after="80"/>
      </w:pPr>
      <w:r>
        <w:rPr>
          <w:b/>
          <w:bCs/>
          <w:color w:val="7B0000"/>
          <w:sz w:val="25"/>
          <w:szCs w:val="25"/>
        </w:rPr>
        <w:t>Staffing has been built well ahead of growth</w:t>
      </w:r>
    </w:p>
    <w:p w14:paraId="3484AB90" w14:textId="77777777" w:rsidR="00796B66" w:rsidRDefault="00000000">
      <w:pPr>
        <w:spacing w:after="120" w:line="264" w:lineRule="auto"/>
      </w:pPr>
      <w:r>
        <w:rPr>
          <w:color w:val="000000"/>
        </w:rPr>
        <w:t>Since January 2025, bookkeeping personnel increased from 13 to 40, while average non-tax clients increased from 146 to 177 (after peaking at 195 in April 2026). The average bookkeeper portfolio fell from about 11 clients to about 4.5. Accounting manager loads also declined sharply, from 146 to about 44 clients, as that team grew to four. Client lead loads have held in a range of roughly 10–15 clients and sit at about 10 today.</w:t>
      </w:r>
    </w:p>
    <w:p w14:paraId="60B684D5" w14:textId="77777777" w:rsidR="00796B66" w:rsidRDefault="00000000">
      <w:pPr>
        <w:spacing w:after="120" w:line="264" w:lineRule="auto"/>
      </w:pPr>
      <w:r>
        <w:rPr>
          <w:color w:val="000000"/>
        </w:rPr>
        <w:t>Management indicates a normalized load of 8–10 clients per bookkeeper. Twelve proved too many and contributed to burnout, while today’s level implies bookkeepers are running at roughly half capacity. Pro forma bookkeeper wages are about $493K, and our steady-state case removes about $220K of that as excess capacity.</w:t>
      </w:r>
    </w:p>
    <w:p w14:paraId="5512D132" w14:textId="77777777" w:rsidR="00796B66" w:rsidRDefault="00000000">
      <w:pPr>
        <w:pStyle w:val="Heading2"/>
        <w:keepNext/>
        <w:spacing w:before="200" w:after="80"/>
      </w:pPr>
      <w:r>
        <w:rPr>
          <w:b/>
          <w:bCs/>
          <w:color w:val="7B0000"/>
          <w:sz w:val="25"/>
          <w:szCs w:val="25"/>
        </w:rPr>
        <w:t>Onboarding capacity has thinned</w:t>
      </w:r>
    </w:p>
    <w:p w14:paraId="4DF041A1" w14:textId="77777777" w:rsidR="00796B66" w:rsidRDefault="00000000">
      <w:pPr>
        <w:spacing w:after="120" w:line="264" w:lineRule="auto"/>
      </w:pPr>
      <w:r>
        <w:rPr>
          <w:color w:val="000000"/>
        </w:rPr>
        <w:t>The onboarding function, which carries every new client, is down to 8 people (4 support and 4 specialists) from a peak of 11 earlier this year. Since May, Keystone has lost six onboarding employees and hired four, and only one of those four new hires remains. Current onboarding payroll is about $134K on the active roster, compared with a run rate of about $197K. We have assumed the open roles will be refilled (see payroll judgments below).</w:t>
      </w:r>
    </w:p>
    <w:p w14:paraId="1512AEDC" w14:textId="77777777" w:rsidR="00796B66" w:rsidRDefault="00000000">
      <w:pPr>
        <w:pStyle w:val="Heading1"/>
        <w:keepNext/>
        <w:spacing w:before="300" w:after="120"/>
      </w:pPr>
      <w:r>
        <w:rPr>
          <w:b/>
          <w:bCs/>
          <w:color w:val="7B0000"/>
          <w:sz w:val="34"/>
          <w:szCs w:val="34"/>
        </w:rPr>
        <w:t>Revised P&amp;L and Earnings Outlook</w:t>
      </w:r>
    </w:p>
    <w:p w14:paraId="08CADA95" w14:textId="77777777" w:rsidR="00796B66" w:rsidRDefault="00000000">
      <w:pPr>
        <w:pStyle w:val="Heading2"/>
        <w:keepNext/>
        <w:spacing w:before="200" w:after="80"/>
      </w:pPr>
      <w:r>
        <w:rPr>
          <w:b/>
          <w:bCs/>
          <w:color w:val="7B0000"/>
          <w:sz w:val="25"/>
          <w:szCs w:val="25"/>
        </w:rPr>
        <w:t>Historical and pro forma summary ($000s)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796B66" w14:paraId="5BB29FD1" w14:textId="77777777">
        <w:tblPrEx>
          <w:tblCellMar>
            <w:top w:w="0" w:type="dxa"/>
            <w:bottom w:w="0" w:type="dxa"/>
          </w:tblCellMar>
        </w:tblPrEx>
        <w:trPr>
          <w:cantSplit/>
          <w:tblHeader/>
        </w:trPr>
        <w:tc>
          <w:tcPr>
            <w:tcW w:w="3360" w:type="dxa"/>
            <w:tcBorders>
              <w:top w:val="single" w:sz="4" w:space="0" w:color="BFBFBF"/>
              <w:left w:val="single" w:sz="4" w:space="0" w:color="BFBFBF"/>
              <w:bottom w:val="single" w:sz="4" w:space="0" w:color="BFBFBF"/>
              <w:right w:val="single" w:sz="4" w:space="0" w:color="BFBFBF"/>
            </w:tcBorders>
            <w:shd w:val="clear" w:color="auto" w:fill="990033"/>
            <w:tcMar>
              <w:top w:w="60" w:type="dxa"/>
              <w:left w:w="100" w:type="dxa"/>
              <w:bottom w:w="60" w:type="dxa"/>
              <w:right w:w="100" w:type="dxa"/>
            </w:tcMar>
          </w:tcPr>
          <w:p w14:paraId="6930437E" w14:textId="77777777" w:rsidR="00796B66" w:rsidRDefault="00796B66"/>
        </w:tc>
        <w:tc>
          <w:tcPr>
            <w:tcW w:w="2000" w:type="dxa"/>
            <w:tcBorders>
              <w:top w:val="single" w:sz="4" w:space="0" w:color="BFBFBF"/>
              <w:left w:val="single" w:sz="4" w:space="0" w:color="BFBFBF"/>
              <w:bottom w:val="single" w:sz="4" w:space="0" w:color="BFBFBF"/>
              <w:right w:val="single" w:sz="4" w:space="0" w:color="BFBFBF"/>
            </w:tcBorders>
            <w:shd w:val="clear" w:color="auto" w:fill="990033"/>
            <w:tcMar>
              <w:top w:w="60" w:type="dxa"/>
              <w:left w:w="100" w:type="dxa"/>
              <w:bottom w:w="60" w:type="dxa"/>
              <w:right w:w="100" w:type="dxa"/>
            </w:tcMar>
          </w:tcPr>
          <w:p w14:paraId="7B9A2FE8" w14:textId="77777777" w:rsidR="00796B66" w:rsidRDefault="00000000">
            <w:pPr>
              <w:jc w:val="right"/>
            </w:pPr>
            <w:r>
              <w:rPr>
                <w:b/>
                <w:bCs/>
                <w:color w:val="FFFFFF"/>
                <w:sz w:val="20"/>
                <w:szCs w:val="20"/>
              </w:rPr>
              <w:t>LTM Jul’25</w:t>
            </w:r>
          </w:p>
        </w:tc>
        <w:tc>
          <w:tcPr>
            <w:tcW w:w="2000" w:type="dxa"/>
            <w:tcBorders>
              <w:top w:val="single" w:sz="4" w:space="0" w:color="BFBFBF"/>
              <w:left w:val="single" w:sz="4" w:space="0" w:color="BFBFBF"/>
              <w:bottom w:val="single" w:sz="4" w:space="0" w:color="BFBFBF"/>
              <w:right w:val="single" w:sz="4" w:space="0" w:color="BFBFBF"/>
            </w:tcBorders>
            <w:shd w:val="clear" w:color="auto" w:fill="990033"/>
            <w:tcMar>
              <w:top w:w="60" w:type="dxa"/>
              <w:left w:w="100" w:type="dxa"/>
              <w:bottom w:w="60" w:type="dxa"/>
              <w:right w:w="100" w:type="dxa"/>
            </w:tcMar>
          </w:tcPr>
          <w:p w14:paraId="652CD023" w14:textId="77777777" w:rsidR="00796B66" w:rsidRDefault="00000000">
            <w:pPr>
              <w:jc w:val="right"/>
            </w:pPr>
            <w:r>
              <w:rPr>
                <w:b/>
                <w:bCs/>
                <w:color w:val="FFFFFF"/>
                <w:sz w:val="20"/>
                <w:szCs w:val="20"/>
              </w:rPr>
              <w:t>LTM Jul’26</w:t>
            </w:r>
          </w:p>
        </w:tc>
        <w:tc>
          <w:tcPr>
            <w:tcW w:w="2000" w:type="dxa"/>
            <w:tcBorders>
              <w:top w:val="single" w:sz="4" w:space="0" w:color="BFBFBF"/>
              <w:left w:val="single" w:sz="4" w:space="0" w:color="BFBFBF"/>
              <w:bottom w:val="single" w:sz="4" w:space="0" w:color="BFBFBF"/>
              <w:right w:val="single" w:sz="4" w:space="0" w:color="BFBFBF"/>
            </w:tcBorders>
            <w:shd w:val="clear" w:color="auto" w:fill="990033"/>
            <w:tcMar>
              <w:top w:w="60" w:type="dxa"/>
              <w:left w:w="100" w:type="dxa"/>
              <w:bottom w:w="60" w:type="dxa"/>
              <w:right w:w="100" w:type="dxa"/>
            </w:tcMar>
          </w:tcPr>
          <w:p w14:paraId="0339CE79" w14:textId="77777777" w:rsidR="00796B66" w:rsidRDefault="00000000">
            <w:pPr>
              <w:jc w:val="right"/>
            </w:pPr>
            <w:r>
              <w:rPr>
                <w:b/>
                <w:bCs/>
                <w:color w:val="FFFFFF"/>
                <w:sz w:val="20"/>
                <w:szCs w:val="20"/>
              </w:rPr>
              <w:t>PF Jul’26</w:t>
            </w:r>
          </w:p>
        </w:tc>
      </w:tr>
      <w:tr w:rsidR="00796B66" w14:paraId="38FC4469"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AA070B" w14:textId="77777777" w:rsidR="00796B66" w:rsidRDefault="00000000">
            <w:r>
              <w:rPr>
                <w:color w:val="000000"/>
                <w:sz w:val="20"/>
                <w:szCs w:val="20"/>
              </w:rPr>
              <w:t>Total Revenue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DD13FB" w14:textId="77777777" w:rsidR="00796B66" w:rsidRDefault="00000000">
            <w:pPr>
              <w:jc w:val="right"/>
            </w:pPr>
            <w:r>
              <w:rPr>
                <w:color w:val="000000"/>
                <w:sz w:val="20"/>
                <w:szCs w:val="20"/>
              </w:rPr>
              <w:t>$1,524</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5435B6" w14:textId="77777777" w:rsidR="00796B66" w:rsidRDefault="00000000">
            <w:pPr>
              <w:jc w:val="right"/>
            </w:pPr>
            <w:r>
              <w:rPr>
                <w:color w:val="000000"/>
                <w:sz w:val="20"/>
                <w:szCs w:val="20"/>
              </w:rPr>
              <w:t>$2,553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9D636E" w14:textId="77777777" w:rsidR="00796B66" w:rsidRDefault="00000000">
            <w:pPr>
              <w:jc w:val="right"/>
            </w:pPr>
            <w:r>
              <w:rPr>
                <w:color w:val="000000"/>
                <w:sz w:val="20"/>
                <w:szCs w:val="20"/>
              </w:rPr>
              <w:t>$2,999</w:t>
            </w:r>
          </w:p>
        </w:tc>
      </w:tr>
      <w:tr w:rsidR="00796B66" w14:paraId="7AEE5544"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D934A1" w14:textId="77777777" w:rsidR="00796B66" w:rsidRDefault="00000000">
            <w:r>
              <w:rPr>
                <w:color w:val="000000"/>
                <w:sz w:val="20"/>
                <w:szCs w:val="20"/>
              </w:rPr>
              <w:t>Total Payroll</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7C4DF13" w14:textId="77777777" w:rsidR="00796B66" w:rsidRDefault="00000000">
            <w:pPr>
              <w:jc w:val="right"/>
            </w:pPr>
            <w:r>
              <w:rPr>
                <w:color w:val="000000"/>
                <w:sz w:val="20"/>
                <w:szCs w:val="20"/>
              </w:rPr>
              <w:t>993</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AECCE6" w14:textId="77777777" w:rsidR="00796B66" w:rsidRDefault="00000000">
            <w:pPr>
              <w:jc w:val="right"/>
            </w:pPr>
            <w:r>
              <w:rPr>
                <w:color w:val="000000"/>
                <w:sz w:val="20"/>
                <w:szCs w:val="20"/>
              </w:rPr>
              <w:t>1,751</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F743BB" w14:textId="77777777" w:rsidR="00796B66" w:rsidRDefault="00000000">
            <w:pPr>
              <w:jc w:val="right"/>
            </w:pPr>
            <w:r>
              <w:rPr>
                <w:color w:val="000000"/>
                <w:sz w:val="20"/>
                <w:szCs w:val="20"/>
              </w:rPr>
              <w:t>2,094</w:t>
            </w:r>
          </w:p>
        </w:tc>
      </w:tr>
      <w:tr w:rsidR="00796B66" w14:paraId="47D4702C"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4A071E" w14:textId="77777777" w:rsidR="00796B66" w:rsidRDefault="00000000">
            <w:r>
              <w:rPr>
                <w:color w:val="000000"/>
                <w:sz w:val="20"/>
                <w:szCs w:val="20"/>
              </w:rPr>
              <w:t>Total Software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FFD5A7" w14:textId="77777777" w:rsidR="00796B66" w:rsidRDefault="00000000">
            <w:pPr>
              <w:jc w:val="right"/>
            </w:pPr>
            <w:r>
              <w:rPr>
                <w:color w:val="000000"/>
                <w:sz w:val="20"/>
                <w:szCs w:val="20"/>
              </w:rPr>
              <w:t>229</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B433A5" w14:textId="77777777" w:rsidR="00796B66" w:rsidRDefault="00000000">
            <w:pPr>
              <w:jc w:val="right"/>
            </w:pPr>
            <w:r>
              <w:rPr>
                <w:color w:val="000000"/>
                <w:sz w:val="20"/>
                <w:szCs w:val="20"/>
              </w:rPr>
              <w:t>425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2E21D3" w14:textId="77777777" w:rsidR="00796B66" w:rsidRDefault="00000000">
            <w:pPr>
              <w:jc w:val="right"/>
            </w:pPr>
            <w:r>
              <w:rPr>
                <w:color w:val="000000"/>
                <w:sz w:val="20"/>
                <w:szCs w:val="20"/>
              </w:rPr>
              <w:t>568</w:t>
            </w:r>
          </w:p>
        </w:tc>
      </w:tr>
      <w:tr w:rsidR="00796B66" w14:paraId="289CB44C"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BE01DA1" w14:textId="77777777" w:rsidR="00796B66" w:rsidRDefault="00000000">
            <w:r>
              <w:rPr>
                <w:color w:val="000000"/>
                <w:sz w:val="20"/>
                <w:szCs w:val="20"/>
              </w:rPr>
              <w:t>Total Overhead</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DD7492" w14:textId="77777777" w:rsidR="00796B66" w:rsidRDefault="00000000">
            <w:pPr>
              <w:jc w:val="right"/>
            </w:pPr>
            <w:r>
              <w:rPr>
                <w:color w:val="000000"/>
                <w:sz w:val="20"/>
                <w:szCs w:val="20"/>
              </w:rPr>
              <w:t>167</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CDB8AB" w14:textId="77777777" w:rsidR="00796B66" w:rsidRDefault="00000000">
            <w:pPr>
              <w:jc w:val="right"/>
            </w:pPr>
            <w:r>
              <w:rPr>
                <w:color w:val="000000"/>
                <w:sz w:val="20"/>
                <w:szCs w:val="20"/>
              </w:rPr>
              <w:t>273</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32315E" w14:textId="77777777" w:rsidR="00796B66" w:rsidRDefault="00000000">
            <w:pPr>
              <w:jc w:val="right"/>
            </w:pPr>
            <w:r>
              <w:rPr>
                <w:color w:val="000000"/>
                <w:sz w:val="20"/>
                <w:szCs w:val="20"/>
              </w:rPr>
              <w:t>286</w:t>
            </w:r>
          </w:p>
        </w:tc>
      </w:tr>
      <w:tr w:rsidR="00796B66" w14:paraId="73E06614"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shd w:val="clear" w:color="auto" w:fill="EADDE1"/>
            <w:tcMar>
              <w:top w:w="60" w:type="dxa"/>
              <w:left w:w="100" w:type="dxa"/>
              <w:bottom w:w="60" w:type="dxa"/>
              <w:right w:w="100" w:type="dxa"/>
            </w:tcMar>
          </w:tcPr>
          <w:p w14:paraId="1EBD9696" w14:textId="77777777" w:rsidR="00796B66" w:rsidRDefault="00000000">
            <w:r>
              <w:rPr>
                <w:b/>
                <w:bCs/>
                <w:color w:val="000000"/>
                <w:sz w:val="20"/>
                <w:szCs w:val="20"/>
              </w:rPr>
              <w:t>Net Income</w:t>
            </w:r>
          </w:p>
        </w:tc>
        <w:tc>
          <w:tcPr>
            <w:tcW w:w="2000" w:type="dxa"/>
            <w:tcBorders>
              <w:top w:val="single" w:sz="4" w:space="0" w:color="BFBFBF"/>
              <w:left w:val="single" w:sz="4" w:space="0" w:color="BFBFBF"/>
              <w:bottom w:val="single" w:sz="4" w:space="0" w:color="BFBFBF"/>
              <w:right w:val="single" w:sz="4" w:space="0" w:color="BFBFBF"/>
            </w:tcBorders>
            <w:shd w:val="clear" w:color="auto" w:fill="EADDE1"/>
            <w:tcMar>
              <w:top w:w="60" w:type="dxa"/>
              <w:left w:w="100" w:type="dxa"/>
              <w:bottom w:w="60" w:type="dxa"/>
              <w:right w:w="100" w:type="dxa"/>
            </w:tcMar>
          </w:tcPr>
          <w:p w14:paraId="6A46BD33" w14:textId="77777777" w:rsidR="00796B66" w:rsidRDefault="00000000">
            <w:pPr>
              <w:jc w:val="right"/>
            </w:pPr>
            <w:r>
              <w:rPr>
                <w:b/>
                <w:bCs/>
                <w:color w:val="000000"/>
                <w:sz w:val="20"/>
                <w:szCs w:val="20"/>
              </w:rPr>
              <w:t>$135</w:t>
            </w:r>
          </w:p>
        </w:tc>
        <w:tc>
          <w:tcPr>
            <w:tcW w:w="2000" w:type="dxa"/>
            <w:tcBorders>
              <w:top w:val="single" w:sz="4" w:space="0" w:color="BFBFBF"/>
              <w:left w:val="single" w:sz="4" w:space="0" w:color="BFBFBF"/>
              <w:bottom w:val="single" w:sz="4" w:space="0" w:color="BFBFBF"/>
              <w:right w:val="single" w:sz="4" w:space="0" w:color="BFBFBF"/>
            </w:tcBorders>
            <w:shd w:val="clear" w:color="auto" w:fill="EADDE1"/>
            <w:tcMar>
              <w:top w:w="60" w:type="dxa"/>
              <w:left w:w="100" w:type="dxa"/>
              <w:bottom w:w="60" w:type="dxa"/>
              <w:right w:w="100" w:type="dxa"/>
            </w:tcMar>
          </w:tcPr>
          <w:p w14:paraId="36D53D06" w14:textId="77777777" w:rsidR="00796B66" w:rsidRDefault="00000000">
            <w:pPr>
              <w:jc w:val="right"/>
            </w:pPr>
            <w:r>
              <w:rPr>
                <w:b/>
                <w:bCs/>
                <w:color w:val="000000"/>
                <w:sz w:val="20"/>
                <w:szCs w:val="20"/>
              </w:rPr>
              <w:t>$103</w:t>
            </w:r>
          </w:p>
        </w:tc>
        <w:tc>
          <w:tcPr>
            <w:tcW w:w="2000" w:type="dxa"/>
            <w:tcBorders>
              <w:top w:val="single" w:sz="4" w:space="0" w:color="BFBFBF"/>
              <w:left w:val="single" w:sz="4" w:space="0" w:color="BFBFBF"/>
              <w:bottom w:val="single" w:sz="4" w:space="0" w:color="BFBFBF"/>
              <w:right w:val="single" w:sz="4" w:space="0" w:color="BFBFBF"/>
            </w:tcBorders>
            <w:shd w:val="clear" w:color="auto" w:fill="EADDE1"/>
            <w:tcMar>
              <w:top w:w="60" w:type="dxa"/>
              <w:left w:w="100" w:type="dxa"/>
              <w:bottom w:w="60" w:type="dxa"/>
              <w:right w:w="100" w:type="dxa"/>
            </w:tcMar>
          </w:tcPr>
          <w:p w14:paraId="2D92CD72" w14:textId="77777777" w:rsidR="00796B66" w:rsidRDefault="00000000">
            <w:pPr>
              <w:jc w:val="right"/>
            </w:pPr>
            <w:r>
              <w:rPr>
                <w:b/>
                <w:bCs/>
                <w:color w:val="000000"/>
                <w:sz w:val="20"/>
                <w:szCs w:val="20"/>
              </w:rPr>
              <w:t>$51</w:t>
            </w:r>
          </w:p>
        </w:tc>
      </w:tr>
      <w:tr w:rsidR="00796B66" w14:paraId="21036965"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2B8FB0A" w14:textId="77777777" w:rsidR="00796B66" w:rsidRDefault="00000000">
            <w:r>
              <w:rPr>
                <w:color w:val="000000"/>
                <w:sz w:val="20"/>
                <w:szCs w:val="20"/>
              </w:rPr>
              <w:t>% Margin</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836628" w14:textId="77777777" w:rsidR="00796B66" w:rsidRDefault="00000000">
            <w:pPr>
              <w:jc w:val="right"/>
            </w:pPr>
            <w:r>
              <w:rPr>
                <w:color w:val="000000"/>
                <w:sz w:val="20"/>
                <w:szCs w:val="20"/>
              </w:rPr>
              <w:t>8.9%</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4F2D6DE" w14:textId="77777777" w:rsidR="00796B66" w:rsidRDefault="00000000">
            <w:pPr>
              <w:jc w:val="right"/>
            </w:pPr>
            <w:r>
              <w:rPr>
                <w:color w:val="000000"/>
                <w:sz w:val="20"/>
                <w:szCs w:val="20"/>
              </w:rPr>
              <w:t>4.0%</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329ADF4" w14:textId="77777777" w:rsidR="00796B66" w:rsidRDefault="00000000">
            <w:pPr>
              <w:jc w:val="right"/>
            </w:pPr>
            <w:r>
              <w:rPr>
                <w:color w:val="000000"/>
                <w:sz w:val="20"/>
                <w:szCs w:val="20"/>
              </w:rPr>
              <w:t>1.7%</w:t>
            </w:r>
          </w:p>
        </w:tc>
      </w:tr>
    </w:tbl>
    <w:p w14:paraId="1AEF15FE" w14:textId="77777777" w:rsidR="00796B66" w:rsidRDefault="00000000">
      <w:pPr>
        <w:spacing w:after="120" w:line="264" w:lineRule="auto"/>
      </w:pPr>
      <w:r>
        <w:rPr>
          <w:i/>
          <w:iCs/>
          <w:color w:val="000000"/>
          <w:sz w:val="20"/>
          <w:szCs w:val="20"/>
        </w:rPr>
        <w:t>The pro forma column annualizes July 2026. It excludes about $94K of unclassified revenue from the active client list, which would bring total adjusted revenue to about $3.09M.</w:t>
      </w:r>
    </w:p>
    <w:p w14:paraId="612B83FE" w14:textId="77777777" w:rsidR="00796B66" w:rsidRDefault="00000000">
      <w:pPr>
        <w:pStyle w:val="Heading2"/>
        <w:keepNext/>
        <w:spacing w:before="200" w:after="80"/>
      </w:pPr>
      <w:r>
        <w:rPr>
          <w:b/>
          <w:bCs/>
          <w:color w:val="7B0000"/>
          <w:sz w:val="25"/>
          <w:szCs w:val="25"/>
        </w:rPr>
        <w:t>Near-term: breakeven depends on software savings</w:t>
      </w:r>
    </w:p>
    <w:p w14:paraId="5D73957E" w14:textId="77777777" w:rsidR="00796B66" w:rsidRDefault="00000000">
      <w:pPr>
        <w:spacing w:after="120" w:line="264" w:lineRule="auto"/>
      </w:pPr>
      <w:r>
        <w:rPr>
          <w:color w:val="000000"/>
        </w:rPr>
        <w:t xml:space="preserve">Pro forma net income is $51K. Once the upcoming onboarding manager hire is included and Ben’s full compensation is reflected (including distributions currently taken off the income statement), </w:t>
      </w:r>
      <w:r>
        <w:rPr>
          <w:b/>
          <w:bCs/>
          <w:color w:val="000000"/>
        </w:rPr>
        <w:lastRenderedPageBreak/>
        <w:t>earnings fall to approximately –$166K.</w:t>
      </w:r>
      <w:r>
        <w:rPr>
          <w:color w:val="000000"/>
        </w:rPr>
        <w:t xml:space="preserve"> Three items bring the business back to modestly positive near-term adjusted EBITDA of about $54K:</w:t>
      </w:r>
    </w:p>
    <w:p w14:paraId="363AE408" w14:textId="77777777" w:rsidR="00796B66" w:rsidRDefault="00000000">
      <w:pPr>
        <w:pStyle w:val="ListParagraph"/>
        <w:numPr>
          <w:ilvl w:val="0"/>
          <w:numId w:val="2"/>
        </w:numPr>
        <w:spacing w:after="60" w:line="252" w:lineRule="auto"/>
      </w:pPr>
      <w:r>
        <w:rPr>
          <w:color w:val="000000"/>
        </w:rPr>
        <w:t>savings from replacing Karbon, Uncat, and Xenett,</w:t>
      </w:r>
    </w:p>
    <w:p w14:paraId="0C4AD7E8" w14:textId="77777777" w:rsidR="00796B66" w:rsidRDefault="00000000">
      <w:pPr>
        <w:pStyle w:val="ListParagraph"/>
        <w:numPr>
          <w:ilvl w:val="0"/>
          <w:numId w:val="2"/>
        </w:numPr>
        <w:spacing w:after="60" w:line="252" w:lineRule="auto"/>
      </w:pPr>
      <w:r>
        <w:rPr>
          <w:color w:val="000000"/>
        </w:rPr>
        <w:t>adding back R&amp;D spend, and</w:t>
      </w:r>
    </w:p>
    <w:p w14:paraId="2E49A052" w14:textId="77777777" w:rsidR="00796B66" w:rsidRDefault="00000000">
      <w:pPr>
        <w:pStyle w:val="ListParagraph"/>
        <w:numPr>
          <w:ilvl w:val="0"/>
          <w:numId w:val="2"/>
        </w:numPr>
        <w:spacing w:after="60" w:line="252" w:lineRule="auto"/>
      </w:pPr>
      <w:r>
        <w:rPr>
          <w:color w:val="000000"/>
        </w:rPr>
        <w:t>margin on the unclassified active client revenue.</w:t>
      </w:r>
    </w:p>
    <w:p w14:paraId="599836BD" w14:textId="77777777" w:rsidR="00796B66" w:rsidRDefault="00000000">
      <w:pPr>
        <w:spacing w:after="120" w:line="264" w:lineRule="auto"/>
      </w:pPr>
      <w:r>
        <w:rPr>
          <w:color w:val="000000"/>
        </w:rPr>
        <w:t>We expect cash flow to remain tight, and potentially negative, until the software savings are fully realized.</w:t>
      </w:r>
    </w:p>
    <w:p w14:paraId="3F78DF68" w14:textId="77777777" w:rsidR="00796B66" w:rsidRDefault="00796B6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796B66" w14:paraId="716898AB" w14:textId="77777777">
        <w:tblPrEx>
          <w:tblCellMar>
            <w:top w:w="0" w:type="dxa"/>
            <w:bottom w:w="0" w:type="dxa"/>
          </w:tblCellMar>
        </w:tblPrEx>
        <w:trPr>
          <w:cantSplit/>
          <w:tblHeader/>
        </w:trPr>
        <w:tc>
          <w:tcPr>
            <w:tcW w:w="6360" w:type="dxa"/>
            <w:tcBorders>
              <w:top w:val="single" w:sz="4" w:space="0" w:color="BFBFBF"/>
              <w:left w:val="single" w:sz="4" w:space="0" w:color="BFBFBF"/>
              <w:bottom w:val="single" w:sz="4" w:space="0" w:color="BFBFBF"/>
              <w:right w:val="single" w:sz="4" w:space="0" w:color="BFBFBF"/>
            </w:tcBorders>
            <w:shd w:val="clear" w:color="auto" w:fill="990033"/>
            <w:tcMar>
              <w:top w:w="60" w:type="dxa"/>
              <w:left w:w="100" w:type="dxa"/>
              <w:bottom w:w="60" w:type="dxa"/>
              <w:right w:w="100" w:type="dxa"/>
            </w:tcMar>
          </w:tcPr>
          <w:p w14:paraId="1B1F5E18" w14:textId="77777777" w:rsidR="00796B66" w:rsidRDefault="00000000">
            <w:r>
              <w:rPr>
                <w:b/>
                <w:bCs/>
                <w:color w:val="FFFFFF"/>
                <w:sz w:val="20"/>
                <w:szCs w:val="20"/>
              </w:rPr>
              <w:t>Near-Term Bridge ($000s)</w:t>
            </w:r>
          </w:p>
        </w:tc>
        <w:tc>
          <w:tcPr>
            <w:tcW w:w="3000" w:type="dxa"/>
            <w:tcBorders>
              <w:top w:val="single" w:sz="4" w:space="0" w:color="BFBFBF"/>
              <w:left w:val="single" w:sz="4" w:space="0" w:color="BFBFBF"/>
              <w:bottom w:val="single" w:sz="4" w:space="0" w:color="BFBFBF"/>
              <w:right w:val="single" w:sz="4" w:space="0" w:color="BFBFBF"/>
            </w:tcBorders>
            <w:shd w:val="clear" w:color="auto" w:fill="990033"/>
            <w:tcMar>
              <w:top w:w="60" w:type="dxa"/>
              <w:left w:w="100" w:type="dxa"/>
              <w:bottom w:w="60" w:type="dxa"/>
              <w:right w:w="100" w:type="dxa"/>
            </w:tcMar>
          </w:tcPr>
          <w:p w14:paraId="1D6972DF" w14:textId="77777777" w:rsidR="00796B66" w:rsidRDefault="00000000">
            <w:pPr>
              <w:jc w:val="right"/>
            </w:pPr>
            <w:r>
              <w:rPr>
                <w:b/>
                <w:bCs/>
                <w:color w:val="FFFFFF"/>
                <w:sz w:val="20"/>
                <w:szCs w:val="20"/>
              </w:rPr>
              <w:t>PF Jul’26</w:t>
            </w:r>
          </w:p>
        </w:tc>
      </w:tr>
      <w:tr w:rsidR="00796B66" w14:paraId="5B49F994" w14:textId="77777777">
        <w:tblPrEx>
          <w:tblCellMar>
            <w:top w:w="0" w:type="dxa"/>
            <w:bottom w:w="0" w:type="dxa"/>
          </w:tblCellMar>
        </w:tblPrEx>
        <w:trPr>
          <w:cantSplit/>
        </w:trPr>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B5D926" w14:textId="77777777" w:rsidR="00796B66" w:rsidRDefault="00000000">
            <w:r>
              <w:rPr>
                <w:color w:val="000000"/>
                <w:sz w:val="20"/>
                <w:szCs w:val="20"/>
              </w:rPr>
              <w:t>Pro forma net income</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58588D" w14:textId="77777777" w:rsidR="00796B66" w:rsidRDefault="00000000">
            <w:pPr>
              <w:jc w:val="right"/>
            </w:pPr>
            <w:r>
              <w:rPr>
                <w:color w:val="000000"/>
                <w:sz w:val="20"/>
                <w:szCs w:val="20"/>
              </w:rPr>
              <w:t>$51</w:t>
            </w:r>
          </w:p>
        </w:tc>
      </w:tr>
      <w:tr w:rsidR="00796B66" w14:paraId="19A2BC8E" w14:textId="77777777">
        <w:tblPrEx>
          <w:tblCellMar>
            <w:top w:w="0" w:type="dxa"/>
            <w:bottom w:w="0" w:type="dxa"/>
          </w:tblCellMar>
        </w:tblPrEx>
        <w:trPr>
          <w:cantSplit/>
        </w:trPr>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FF8933C" w14:textId="77777777" w:rsidR="00796B66" w:rsidRDefault="00000000">
            <w:r>
              <w:rPr>
                <w:color w:val="000000"/>
                <w:sz w:val="20"/>
                <w:szCs w:val="20"/>
              </w:rPr>
              <w:t>(+) Definitional EBITDA and personal expense adjustments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E3530ED" w14:textId="77777777" w:rsidR="00796B66" w:rsidRDefault="00000000">
            <w:pPr>
              <w:jc w:val="right"/>
            </w:pPr>
            <w:r>
              <w:rPr>
                <w:color w:val="000000"/>
                <w:sz w:val="20"/>
                <w:szCs w:val="20"/>
              </w:rPr>
              <w:t>19</w:t>
            </w:r>
          </w:p>
        </w:tc>
      </w:tr>
      <w:tr w:rsidR="00796B66" w14:paraId="06E61240" w14:textId="77777777">
        <w:tblPrEx>
          <w:tblCellMar>
            <w:top w:w="0" w:type="dxa"/>
            <w:bottom w:w="0" w:type="dxa"/>
          </w:tblCellMar>
        </w:tblPrEx>
        <w:trPr>
          <w:cantSplit/>
        </w:trPr>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285FDE" w14:textId="77777777" w:rsidR="00796B66" w:rsidRDefault="00000000">
            <w:r>
              <w:rPr>
                <w:color w:val="000000"/>
                <w:sz w:val="20"/>
                <w:szCs w:val="20"/>
              </w:rPr>
              <w:t>(–) Onboarding manager hire</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F277AE" w14:textId="77777777" w:rsidR="00796B66" w:rsidRDefault="00000000">
            <w:pPr>
              <w:jc w:val="right"/>
            </w:pPr>
            <w:r>
              <w:rPr>
                <w:color w:val="000000"/>
                <w:sz w:val="20"/>
                <w:szCs w:val="20"/>
              </w:rPr>
              <w:t>(116)</w:t>
            </w:r>
          </w:p>
        </w:tc>
      </w:tr>
      <w:tr w:rsidR="00796B66" w14:paraId="26EE00DA" w14:textId="77777777">
        <w:tblPrEx>
          <w:tblCellMar>
            <w:top w:w="0" w:type="dxa"/>
            <w:bottom w:w="0" w:type="dxa"/>
          </w:tblCellMar>
        </w:tblPrEx>
        <w:trPr>
          <w:cantSplit/>
        </w:trPr>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56D207" w14:textId="77777777" w:rsidR="00796B66" w:rsidRDefault="00000000">
            <w:r>
              <w:rPr>
                <w:color w:val="000000"/>
                <w:sz w:val="20"/>
                <w:szCs w:val="20"/>
              </w:rPr>
              <w:t>(–) Go-forward owner compensation</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4C439E5" w14:textId="77777777" w:rsidR="00796B66" w:rsidRDefault="00000000">
            <w:pPr>
              <w:jc w:val="right"/>
            </w:pPr>
            <w:r>
              <w:rPr>
                <w:color w:val="000000"/>
                <w:sz w:val="20"/>
                <w:szCs w:val="20"/>
              </w:rPr>
              <w:t>(120)</w:t>
            </w:r>
          </w:p>
        </w:tc>
      </w:tr>
      <w:tr w:rsidR="00796B66" w14:paraId="09487E76" w14:textId="77777777">
        <w:tblPrEx>
          <w:tblCellMar>
            <w:top w:w="0" w:type="dxa"/>
            <w:bottom w:w="0" w:type="dxa"/>
          </w:tblCellMar>
        </w:tblPrEx>
        <w:trPr>
          <w:cantSplit/>
        </w:trPr>
        <w:tc>
          <w:tcPr>
            <w:tcW w:w="6360" w:type="dxa"/>
            <w:tcBorders>
              <w:top w:val="single" w:sz="4" w:space="0" w:color="BFBFBF"/>
              <w:left w:val="single" w:sz="4" w:space="0" w:color="BFBFBF"/>
              <w:bottom w:val="single" w:sz="4" w:space="0" w:color="BFBFBF"/>
              <w:right w:val="single" w:sz="4" w:space="0" w:color="BFBFBF"/>
            </w:tcBorders>
            <w:shd w:val="clear" w:color="auto" w:fill="EADDE1"/>
            <w:tcMar>
              <w:top w:w="60" w:type="dxa"/>
              <w:left w:w="100" w:type="dxa"/>
              <w:bottom w:w="60" w:type="dxa"/>
              <w:right w:w="100" w:type="dxa"/>
            </w:tcMar>
          </w:tcPr>
          <w:p w14:paraId="13A36C03" w14:textId="77777777" w:rsidR="00796B66" w:rsidRDefault="00000000">
            <w:r>
              <w:rPr>
                <w:b/>
                <w:bCs/>
                <w:color w:val="000000"/>
                <w:sz w:val="20"/>
                <w:szCs w:val="20"/>
              </w:rPr>
              <w:t>Pro forma earnings before savings</w:t>
            </w:r>
          </w:p>
        </w:tc>
        <w:tc>
          <w:tcPr>
            <w:tcW w:w="3000" w:type="dxa"/>
            <w:tcBorders>
              <w:top w:val="single" w:sz="4" w:space="0" w:color="BFBFBF"/>
              <w:left w:val="single" w:sz="4" w:space="0" w:color="BFBFBF"/>
              <w:bottom w:val="single" w:sz="4" w:space="0" w:color="BFBFBF"/>
              <w:right w:val="single" w:sz="4" w:space="0" w:color="BFBFBF"/>
            </w:tcBorders>
            <w:shd w:val="clear" w:color="auto" w:fill="EADDE1"/>
            <w:tcMar>
              <w:top w:w="60" w:type="dxa"/>
              <w:left w:w="100" w:type="dxa"/>
              <w:bottom w:w="60" w:type="dxa"/>
              <w:right w:w="100" w:type="dxa"/>
            </w:tcMar>
          </w:tcPr>
          <w:p w14:paraId="7F736722" w14:textId="77777777" w:rsidR="00796B66" w:rsidRDefault="00000000">
            <w:pPr>
              <w:jc w:val="right"/>
            </w:pPr>
            <w:r>
              <w:rPr>
                <w:b/>
                <w:bCs/>
                <w:color w:val="000000"/>
                <w:sz w:val="20"/>
                <w:szCs w:val="20"/>
              </w:rPr>
              <w:t>($166)</w:t>
            </w:r>
          </w:p>
        </w:tc>
      </w:tr>
      <w:tr w:rsidR="00796B66" w14:paraId="4F69D97A" w14:textId="77777777">
        <w:tblPrEx>
          <w:tblCellMar>
            <w:top w:w="0" w:type="dxa"/>
            <w:bottom w:w="0" w:type="dxa"/>
          </w:tblCellMar>
        </w:tblPrEx>
        <w:trPr>
          <w:cantSplit/>
        </w:trPr>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283921" w14:textId="77777777" w:rsidR="00796B66" w:rsidRDefault="00000000">
            <w:r>
              <w:rPr>
                <w:color w:val="000000"/>
                <w:sz w:val="20"/>
                <w:szCs w:val="20"/>
              </w:rPr>
              <w:t>(+) Karbon, Uncat, and Xenett savings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B246CAC" w14:textId="77777777" w:rsidR="00796B66" w:rsidRDefault="00000000">
            <w:pPr>
              <w:jc w:val="right"/>
            </w:pPr>
            <w:r>
              <w:rPr>
                <w:color w:val="000000"/>
                <w:sz w:val="20"/>
                <w:szCs w:val="20"/>
              </w:rPr>
              <w:t>97</w:t>
            </w:r>
          </w:p>
        </w:tc>
      </w:tr>
      <w:tr w:rsidR="00796B66" w14:paraId="16747985" w14:textId="77777777">
        <w:tblPrEx>
          <w:tblCellMar>
            <w:top w:w="0" w:type="dxa"/>
            <w:bottom w:w="0" w:type="dxa"/>
          </w:tblCellMar>
        </w:tblPrEx>
        <w:trPr>
          <w:cantSplit/>
        </w:trPr>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C8F2BD" w14:textId="77777777" w:rsidR="00796B66" w:rsidRDefault="00000000">
            <w:r>
              <w:rPr>
                <w:color w:val="000000"/>
                <w:sz w:val="20"/>
                <w:szCs w:val="20"/>
              </w:rPr>
              <w:t>(+) R&amp;D add-back (Other Professional Fees)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151932" w14:textId="77777777" w:rsidR="00796B66" w:rsidRDefault="00000000">
            <w:pPr>
              <w:jc w:val="right"/>
            </w:pPr>
            <w:r>
              <w:rPr>
                <w:color w:val="000000"/>
                <w:sz w:val="20"/>
                <w:szCs w:val="20"/>
              </w:rPr>
              <w:t>73</w:t>
            </w:r>
          </w:p>
        </w:tc>
      </w:tr>
      <w:tr w:rsidR="00796B66" w14:paraId="22C44A44" w14:textId="77777777">
        <w:tblPrEx>
          <w:tblCellMar>
            <w:top w:w="0" w:type="dxa"/>
            <w:bottom w:w="0" w:type="dxa"/>
          </w:tblCellMar>
        </w:tblPrEx>
        <w:trPr>
          <w:cantSplit/>
        </w:trPr>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669B97" w14:textId="77777777" w:rsidR="00796B66" w:rsidRDefault="00000000">
            <w:r>
              <w:rPr>
                <w:color w:val="000000"/>
                <w:sz w:val="20"/>
                <w:szCs w:val="20"/>
              </w:rPr>
              <w:t>(+) Unclassified active client contribution</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6BB324" w14:textId="77777777" w:rsidR="00796B66" w:rsidRDefault="00000000">
            <w:pPr>
              <w:jc w:val="right"/>
            </w:pPr>
            <w:r>
              <w:rPr>
                <w:color w:val="000000"/>
                <w:sz w:val="20"/>
                <w:szCs w:val="20"/>
              </w:rPr>
              <w:t>51</w:t>
            </w:r>
          </w:p>
        </w:tc>
      </w:tr>
      <w:tr w:rsidR="00796B66" w14:paraId="3E9D5CF3" w14:textId="77777777">
        <w:tblPrEx>
          <w:tblCellMar>
            <w:top w:w="0" w:type="dxa"/>
            <w:bottom w:w="0" w:type="dxa"/>
          </w:tblCellMar>
        </w:tblPrEx>
        <w:trPr>
          <w:cantSplit/>
        </w:trPr>
        <w:tc>
          <w:tcPr>
            <w:tcW w:w="6360" w:type="dxa"/>
            <w:tcBorders>
              <w:top w:val="single" w:sz="4" w:space="0" w:color="BFBFBF"/>
              <w:left w:val="single" w:sz="4" w:space="0" w:color="BFBFBF"/>
              <w:bottom w:val="single" w:sz="4" w:space="0" w:color="BFBFBF"/>
              <w:right w:val="single" w:sz="4" w:space="0" w:color="BFBFBF"/>
            </w:tcBorders>
            <w:shd w:val="clear" w:color="auto" w:fill="EADDE1"/>
            <w:tcMar>
              <w:top w:w="60" w:type="dxa"/>
              <w:left w:w="100" w:type="dxa"/>
              <w:bottom w:w="60" w:type="dxa"/>
              <w:right w:w="100" w:type="dxa"/>
            </w:tcMar>
          </w:tcPr>
          <w:p w14:paraId="5F61D28A" w14:textId="77777777" w:rsidR="00796B66" w:rsidRDefault="00000000">
            <w:r>
              <w:rPr>
                <w:b/>
                <w:bCs/>
                <w:color w:val="000000"/>
                <w:sz w:val="20"/>
                <w:szCs w:val="20"/>
              </w:rPr>
              <w:t>Near-term adjusted EBITDA</w:t>
            </w:r>
          </w:p>
        </w:tc>
        <w:tc>
          <w:tcPr>
            <w:tcW w:w="3000" w:type="dxa"/>
            <w:tcBorders>
              <w:top w:val="single" w:sz="4" w:space="0" w:color="BFBFBF"/>
              <w:left w:val="single" w:sz="4" w:space="0" w:color="BFBFBF"/>
              <w:bottom w:val="single" w:sz="4" w:space="0" w:color="BFBFBF"/>
              <w:right w:val="single" w:sz="4" w:space="0" w:color="BFBFBF"/>
            </w:tcBorders>
            <w:shd w:val="clear" w:color="auto" w:fill="EADDE1"/>
            <w:tcMar>
              <w:top w:w="60" w:type="dxa"/>
              <w:left w:w="100" w:type="dxa"/>
              <w:bottom w:w="60" w:type="dxa"/>
              <w:right w:w="100" w:type="dxa"/>
            </w:tcMar>
          </w:tcPr>
          <w:p w14:paraId="46D6EF0B" w14:textId="77777777" w:rsidR="00796B66" w:rsidRDefault="00000000">
            <w:pPr>
              <w:jc w:val="right"/>
            </w:pPr>
            <w:r>
              <w:rPr>
                <w:b/>
                <w:bCs/>
                <w:color w:val="000000"/>
                <w:sz w:val="20"/>
                <w:szCs w:val="20"/>
              </w:rPr>
              <w:t>$54</w:t>
            </w:r>
          </w:p>
        </w:tc>
      </w:tr>
    </w:tbl>
    <w:p w14:paraId="3603BBF5" w14:textId="77777777" w:rsidR="00796B66" w:rsidRDefault="00000000">
      <w:pPr>
        <w:pStyle w:val="Heading2"/>
        <w:keepNext/>
        <w:spacing w:before="200" w:after="80"/>
      </w:pPr>
      <w:r>
        <w:rPr>
          <w:b/>
          <w:bCs/>
          <w:color w:val="7B0000"/>
          <w:sz w:val="25"/>
          <w:szCs w:val="25"/>
        </w:rPr>
        <w:t>Steady state: normalized earnings of roughly $550K</w:t>
      </w:r>
    </w:p>
    <w:p w14:paraId="484E6C23" w14:textId="77777777" w:rsidR="00796B66" w:rsidRDefault="00000000">
      <w:pPr>
        <w:spacing w:after="120" w:line="264" w:lineRule="auto"/>
      </w:pPr>
      <w:r>
        <w:rPr>
          <w:color w:val="000000"/>
        </w:rPr>
        <w:t>Our steady-state view layers four operational adjustments on top of the near-term figure:</w:t>
      </w:r>
    </w:p>
    <w:p w14:paraId="03975528" w14:textId="77777777" w:rsidR="00796B66" w:rsidRDefault="00000000">
      <w:pPr>
        <w:pStyle w:val="ListParagraph"/>
        <w:numPr>
          <w:ilvl w:val="0"/>
          <w:numId w:val="2"/>
        </w:numPr>
        <w:spacing w:after="60" w:line="252" w:lineRule="auto"/>
      </w:pPr>
      <w:r>
        <w:rPr>
          <w:color w:val="000000"/>
        </w:rPr>
        <w:t>normalizing bookkeeper staffing,</w:t>
      </w:r>
    </w:p>
    <w:p w14:paraId="5FAA9C39" w14:textId="77777777" w:rsidR="00796B66" w:rsidRDefault="00000000">
      <w:pPr>
        <w:pStyle w:val="ListParagraph"/>
        <w:numPr>
          <w:ilvl w:val="0"/>
          <w:numId w:val="2"/>
        </w:numPr>
        <w:spacing w:after="60" w:line="252" w:lineRule="auto"/>
      </w:pPr>
      <w:r>
        <w:rPr>
          <w:color w:val="000000"/>
        </w:rPr>
        <w:t>replacing VR Platform trust accounting spend,</w:t>
      </w:r>
    </w:p>
    <w:p w14:paraId="2F38157E" w14:textId="77777777" w:rsidR="00796B66" w:rsidRDefault="00000000">
      <w:pPr>
        <w:pStyle w:val="ListParagraph"/>
        <w:numPr>
          <w:ilvl w:val="0"/>
          <w:numId w:val="2"/>
        </w:numPr>
        <w:spacing w:after="60" w:line="252" w:lineRule="auto"/>
      </w:pPr>
      <w:r>
        <w:rPr>
          <w:color w:val="000000"/>
        </w:rPr>
        <w:t>sizing the onboarding team for steady-state client replacement rather than growth, and</w:t>
      </w:r>
    </w:p>
    <w:p w14:paraId="159D5400" w14:textId="77777777" w:rsidR="00796B66" w:rsidRDefault="00000000">
      <w:pPr>
        <w:pStyle w:val="ListParagraph"/>
        <w:numPr>
          <w:ilvl w:val="0"/>
          <w:numId w:val="2"/>
        </w:numPr>
        <w:spacing w:after="60" w:line="252" w:lineRule="auto"/>
      </w:pPr>
      <w:r>
        <w:rPr>
          <w:color w:val="000000"/>
        </w:rPr>
        <w:t>normalizing sales and marketing wages.</w:t>
      </w:r>
    </w:p>
    <w:p w14:paraId="4FAC3394" w14:textId="77777777" w:rsidR="00796B66" w:rsidRDefault="00796B6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796B66" w14:paraId="35EF5671" w14:textId="77777777">
        <w:tblPrEx>
          <w:tblCellMar>
            <w:top w:w="0" w:type="dxa"/>
            <w:bottom w:w="0" w:type="dxa"/>
          </w:tblCellMar>
        </w:tblPrEx>
        <w:trPr>
          <w:cantSplit/>
          <w:tblHeader/>
        </w:trPr>
        <w:tc>
          <w:tcPr>
            <w:tcW w:w="6360" w:type="dxa"/>
            <w:tcBorders>
              <w:top w:val="single" w:sz="4" w:space="0" w:color="BFBFBF"/>
              <w:left w:val="single" w:sz="4" w:space="0" w:color="BFBFBF"/>
              <w:bottom w:val="single" w:sz="4" w:space="0" w:color="BFBFBF"/>
              <w:right w:val="single" w:sz="4" w:space="0" w:color="BFBFBF"/>
            </w:tcBorders>
            <w:shd w:val="clear" w:color="auto" w:fill="990033"/>
            <w:tcMar>
              <w:top w:w="60" w:type="dxa"/>
              <w:left w:w="100" w:type="dxa"/>
              <w:bottom w:w="60" w:type="dxa"/>
              <w:right w:w="100" w:type="dxa"/>
            </w:tcMar>
          </w:tcPr>
          <w:p w14:paraId="1C439BB8" w14:textId="77777777" w:rsidR="00796B66" w:rsidRDefault="00000000">
            <w:r>
              <w:rPr>
                <w:b/>
                <w:bCs/>
                <w:color w:val="FFFFFF"/>
                <w:sz w:val="20"/>
                <w:szCs w:val="20"/>
              </w:rPr>
              <w:t>Steady-State Bridge ($000s)</w:t>
            </w:r>
          </w:p>
        </w:tc>
        <w:tc>
          <w:tcPr>
            <w:tcW w:w="3000" w:type="dxa"/>
            <w:tcBorders>
              <w:top w:val="single" w:sz="4" w:space="0" w:color="BFBFBF"/>
              <w:left w:val="single" w:sz="4" w:space="0" w:color="BFBFBF"/>
              <w:bottom w:val="single" w:sz="4" w:space="0" w:color="BFBFBF"/>
              <w:right w:val="single" w:sz="4" w:space="0" w:color="BFBFBF"/>
            </w:tcBorders>
            <w:shd w:val="clear" w:color="auto" w:fill="990033"/>
            <w:tcMar>
              <w:top w:w="60" w:type="dxa"/>
              <w:left w:w="100" w:type="dxa"/>
              <w:bottom w:w="60" w:type="dxa"/>
              <w:right w:w="100" w:type="dxa"/>
            </w:tcMar>
          </w:tcPr>
          <w:p w14:paraId="68B9AB59" w14:textId="77777777" w:rsidR="00796B66" w:rsidRDefault="00000000">
            <w:pPr>
              <w:jc w:val="right"/>
            </w:pPr>
            <w:r>
              <w:rPr>
                <w:b/>
                <w:bCs/>
                <w:color w:val="FFFFFF"/>
                <w:sz w:val="20"/>
                <w:szCs w:val="20"/>
              </w:rPr>
              <w:t>PF Jul’26</w:t>
            </w:r>
          </w:p>
        </w:tc>
      </w:tr>
      <w:tr w:rsidR="00796B66" w14:paraId="6AE28B20" w14:textId="77777777">
        <w:tblPrEx>
          <w:tblCellMar>
            <w:top w:w="0" w:type="dxa"/>
            <w:bottom w:w="0" w:type="dxa"/>
          </w:tblCellMar>
        </w:tblPrEx>
        <w:trPr>
          <w:cantSplit/>
        </w:trPr>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D3F01D" w14:textId="77777777" w:rsidR="00796B66" w:rsidRDefault="00000000">
            <w:r>
              <w:rPr>
                <w:color w:val="000000"/>
                <w:sz w:val="20"/>
                <w:szCs w:val="20"/>
              </w:rPr>
              <w:t>Near-term adjusted EBITDA</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AF51D1" w14:textId="77777777" w:rsidR="00796B66" w:rsidRDefault="00000000">
            <w:pPr>
              <w:jc w:val="right"/>
            </w:pPr>
            <w:r>
              <w:rPr>
                <w:color w:val="000000"/>
                <w:sz w:val="20"/>
                <w:szCs w:val="20"/>
              </w:rPr>
              <w:t>$54</w:t>
            </w:r>
          </w:p>
        </w:tc>
      </w:tr>
      <w:tr w:rsidR="00796B66" w14:paraId="353E5287" w14:textId="77777777">
        <w:tblPrEx>
          <w:tblCellMar>
            <w:top w:w="0" w:type="dxa"/>
            <w:bottom w:w="0" w:type="dxa"/>
          </w:tblCellMar>
        </w:tblPrEx>
        <w:trPr>
          <w:cantSplit/>
        </w:trPr>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00406A" w14:textId="77777777" w:rsidR="00796B66" w:rsidRDefault="00000000">
            <w:r>
              <w:rPr>
                <w:color w:val="000000"/>
                <w:sz w:val="20"/>
                <w:szCs w:val="20"/>
              </w:rPr>
              <w:t>(+) Normalized bookkeeper staffing</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4B3EAA9" w14:textId="77777777" w:rsidR="00796B66" w:rsidRDefault="00000000">
            <w:pPr>
              <w:jc w:val="right"/>
            </w:pPr>
            <w:r>
              <w:rPr>
                <w:color w:val="000000"/>
                <w:sz w:val="20"/>
                <w:szCs w:val="20"/>
              </w:rPr>
              <w:t>220</w:t>
            </w:r>
          </w:p>
        </w:tc>
      </w:tr>
      <w:tr w:rsidR="00796B66" w14:paraId="21B36B0F" w14:textId="77777777">
        <w:tblPrEx>
          <w:tblCellMar>
            <w:top w:w="0" w:type="dxa"/>
            <w:bottom w:w="0" w:type="dxa"/>
          </w:tblCellMar>
        </w:tblPrEx>
        <w:trPr>
          <w:cantSplit/>
        </w:trPr>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F0C5B5" w14:textId="77777777" w:rsidR="00796B66" w:rsidRDefault="00000000">
            <w:r>
              <w:rPr>
                <w:color w:val="000000"/>
                <w:sz w:val="20"/>
                <w:szCs w:val="20"/>
              </w:rPr>
              <w:t>(+) VR Platform cost savings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DD813A" w14:textId="77777777" w:rsidR="00796B66" w:rsidRDefault="00000000">
            <w:pPr>
              <w:jc w:val="right"/>
            </w:pPr>
            <w:r>
              <w:rPr>
                <w:color w:val="000000"/>
                <w:sz w:val="20"/>
                <w:szCs w:val="20"/>
              </w:rPr>
              <w:t>179</w:t>
            </w:r>
          </w:p>
        </w:tc>
      </w:tr>
      <w:tr w:rsidR="00796B66" w14:paraId="436C73BE" w14:textId="77777777">
        <w:tblPrEx>
          <w:tblCellMar>
            <w:top w:w="0" w:type="dxa"/>
            <w:bottom w:w="0" w:type="dxa"/>
          </w:tblCellMar>
        </w:tblPrEx>
        <w:trPr>
          <w:cantSplit/>
        </w:trPr>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B1EE1E2" w14:textId="77777777" w:rsidR="00796B66" w:rsidRDefault="00000000">
            <w:r>
              <w:rPr>
                <w:color w:val="000000"/>
                <w:sz w:val="20"/>
                <w:szCs w:val="20"/>
              </w:rPr>
              <w:t>(+) Onboarding team wages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CC8739" w14:textId="77777777" w:rsidR="00796B66" w:rsidRDefault="00000000">
            <w:pPr>
              <w:jc w:val="right"/>
            </w:pPr>
            <w:r>
              <w:rPr>
                <w:color w:val="000000"/>
                <w:sz w:val="20"/>
                <w:szCs w:val="20"/>
              </w:rPr>
              <w:t>148</w:t>
            </w:r>
          </w:p>
        </w:tc>
      </w:tr>
      <w:tr w:rsidR="00796B66" w14:paraId="05CCBE95" w14:textId="77777777">
        <w:tblPrEx>
          <w:tblCellMar>
            <w:top w:w="0" w:type="dxa"/>
            <w:bottom w:w="0" w:type="dxa"/>
          </w:tblCellMar>
        </w:tblPrEx>
        <w:trPr>
          <w:cantSplit/>
        </w:trPr>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A1185D" w14:textId="77777777" w:rsidR="00796B66" w:rsidRDefault="00000000">
            <w:r>
              <w:rPr>
                <w:color w:val="000000"/>
                <w:sz w:val="20"/>
                <w:szCs w:val="20"/>
              </w:rPr>
              <w:t>(–) Onboarding revenue</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30878B" w14:textId="77777777" w:rsidR="00796B66" w:rsidRDefault="00000000">
            <w:pPr>
              <w:jc w:val="right"/>
            </w:pPr>
            <w:r>
              <w:rPr>
                <w:color w:val="000000"/>
                <w:sz w:val="20"/>
                <w:szCs w:val="20"/>
              </w:rPr>
              <w:t>(78)</w:t>
            </w:r>
          </w:p>
        </w:tc>
      </w:tr>
      <w:tr w:rsidR="00796B66" w14:paraId="14B7F87A" w14:textId="77777777">
        <w:tblPrEx>
          <w:tblCellMar>
            <w:top w:w="0" w:type="dxa"/>
            <w:bottom w:w="0" w:type="dxa"/>
          </w:tblCellMar>
        </w:tblPrEx>
        <w:trPr>
          <w:cantSplit/>
        </w:trPr>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AB820DD" w14:textId="77777777" w:rsidR="00796B66" w:rsidRDefault="00000000">
            <w:r>
              <w:rPr>
                <w:color w:val="000000"/>
                <w:sz w:val="20"/>
                <w:szCs w:val="20"/>
              </w:rPr>
              <w:t>(+) S&amp;M wages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4D183BF" w14:textId="77777777" w:rsidR="00796B66" w:rsidRDefault="00000000">
            <w:pPr>
              <w:jc w:val="right"/>
            </w:pPr>
            <w:r>
              <w:rPr>
                <w:color w:val="000000"/>
                <w:sz w:val="20"/>
                <w:szCs w:val="20"/>
              </w:rPr>
              <w:t>28</w:t>
            </w:r>
          </w:p>
        </w:tc>
      </w:tr>
      <w:tr w:rsidR="00796B66" w14:paraId="0CC18C76" w14:textId="77777777">
        <w:tblPrEx>
          <w:tblCellMar>
            <w:top w:w="0" w:type="dxa"/>
            <w:bottom w:w="0" w:type="dxa"/>
          </w:tblCellMar>
        </w:tblPrEx>
        <w:trPr>
          <w:cantSplit/>
        </w:trPr>
        <w:tc>
          <w:tcPr>
            <w:tcW w:w="6360" w:type="dxa"/>
            <w:tcBorders>
              <w:top w:val="single" w:sz="4" w:space="0" w:color="BFBFBF"/>
              <w:left w:val="single" w:sz="4" w:space="0" w:color="BFBFBF"/>
              <w:bottom w:val="single" w:sz="4" w:space="0" w:color="BFBFBF"/>
              <w:right w:val="single" w:sz="4" w:space="0" w:color="BFBFBF"/>
            </w:tcBorders>
            <w:shd w:val="clear" w:color="auto" w:fill="EADDE1"/>
            <w:tcMar>
              <w:top w:w="60" w:type="dxa"/>
              <w:left w:w="100" w:type="dxa"/>
              <w:bottom w:w="60" w:type="dxa"/>
              <w:right w:w="100" w:type="dxa"/>
            </w:tcMar>
          </w:tcPr>
          <w:p w14:paraId="70C41BBC" w14:textId="77777777" w:rsidR="00796B66" w:rsidRDefault="00000000">
            <w:r>
              <w:rPr>
                <w:b/>
                <w:bCs/>
                <w:color w:val="000000"/>
                <w:sz w:val="20"/>
                <w:szCs w:val="20"/>
              </w:rPr>
              <w:t>Steady-state adjusted EBITDA</w:t>
            </w:r>
          </w:p>
        </w:tc>
        <w:tc>
          <w:tcPr>
            <w:tcW w:w="3000" w:type="dxa"/>
            <w:tcBorders>
              <w:top w:val="single" w:sz="4" w:space="0" w:color="BFBFBF"/>
              <w:left w:val="single" w:sz="4" w:space="0" w:color="BFBFBF"/>
              <w:bottom w:val="single" w:sz="4" w:space="0" w:color="BFBFBF"/>
              <w:right w:val="single" w:sz="4" w:space="0" w:color="BFBFBF"/>
            </w:tcBorders>
            <w:shd w:val="clear" w:color="auto" w:fill="EADDE1"/>
            <w:tcMar>
              <w:top w:w="60" w:type="dxa"/>
              <w:left w:w="100" w:type="dxa"/>
              <w:bottom w:w="60" w:type="dxa"/>
              <w:right w:w="100" w:type="dxa"/>
            </w:tcMar>
          </w:tcPr>
          <w:p w14:paraId="2E68FD13" w14:textId="77777777" w:rsidR="00796B66" w:rsidRDefault="00000000">
            <w:pPr>
              <w:jc w:val="right"/>
            </w:pPr>
            <w:r>
              <w:rPr>
                <w:b/>
                <w:bCs/>
                <w:color w:val="000000"/>
                <w:sz w:val="20"/>
                <w:szCs w:val="20"/>
              </w:rPr>
              <w:t>$551</w:t>
            </w:r>
          </w:p>
        </w:tc>
      </w:tr>
      <w:tr w:rsidR="00796B66" w14:paraId="7C6BCD05" w14:textId="77777777">
        <w:tblPrEx>
          <w:tblCellMar>
            <w:top w:w="0" w:type="dxa"/>
            <w:bottom w:w="0" w:type="dxa"/>
          </w:tblCellMar>
        </w:tblPrEx>
        <w:trPr>
          <w:cantSplit/>
        </w:trPr>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363413" w14:textId="77777777" w:rsidR="00796B66" w:rsidRDefault="00000000">
            <w:r>
              <w:rPr>
                <w:color w:val="000000"/>
                <w:sz w:val="20"/>
                <w:szCs w:val="20"/>
              </w:rPr>
              <w:t>% Margin</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278B95C" w14:textId="77777777" w:rsidR="00796B66" w:rsidRDefault="00000000">
            <w:pPr>
              <w:jc w:val="right"/>
            </w:pPr>
            <w:r>
              <w:rPr>
                <w:color w:val="000000"/>
                <w:sz w:val="20"/>
                <w:szCs w:val="20"/>
              </w:rPr>
              <w:t>17.8%</w:t>
            </w:r>
          </w:p>
        </w:tc>
      </w:tr>
    </w:tbl>
    <w:p w14:paraId="4EA52769" w14:textId="77777777" w:rsidR="00796B66" w:rsidRDefault="00796B66">
      <w:pPr>
        <w:spacing w:after="60"/>
      </w:pPr>
    </w:p>
    <w:p w14:paraId="30E5C4E2" w14:textId="77777777" w:rsidR="00796B66" w:rsidRDefault="00000000">
      <w:pPr>
        <w:spacing w:after="120" w:line="264" w:lineRule="auto"/>
      </w:pPr>
      <w:r>
        <w:rPr>
          <w:color w:val="000000"/>
        </w:rPr>
        <w:lastRenderedPageBreak/>
        <w:t>Keystone currently spends about $197K on its onboarding team and about $31K on referral fees, against roughly $104K of onboarding revenue. The steady-state case removes 75% of both onboarding wages and onboarding revenue, a net benefit of about $70K. The right level of onboarding capacity depends on how quickly client churn improves, because a business losing 80+ clients a year needs a team that can replace them. A more conservative assumption that removes only 25% of net onboarding cost would reduce steady-state EBITDA by about $47K, to roughly $504K.</w:t>
      </w:r>
    </w:p>
    <w:p w14:paraId="79BECE7E" w14:textId="77777777" w:rsidR="00796B66" w:rsidRDefault="00000000">
      <w:pPr>
        <w:spacing w:after="120" w:line="264" w:lineRule="auto"/>
      </w:pPr>
      <w:r>
        <w:rPr>
          <w:color w:val="000000"/>
        </w:rPr>
        <w:t>The VR Platform adjustment ($179K) reflects run-rate spend, which is above the $161K LTM figure. Similarly, the Karbon, Uncat, and Xenett savings ($97K) compare with $109K of LTM spend for those vendors.</w:t>
      </w:r>
    </w:p>
    <w:p w14:paraId="2804A10D" w14:textId="77777777" w:rsidR="00796B66" w:rsidRDefault="00000000">
      <w:pPr>
        <w:spacing w:after="120" w:line="264" w:lineRule="auto"/>
      </w:pPr>
      <w:r>
        <w:rPr>
          <w:b/>
          <w:bCs/>
          <w:color w:val="000000"/>
        </w:rPr>
        <w:t>The valuation hinges on the steady-state bookkeeper load.</w:t>
      </w:r>
      <w:r>
        <w:rPr>
          <w:color w:val="000000"/>
        </w:rPr>
        <w:t xml:space="preserve"> The historical data shows a wide range (about 11 in early 2025, stepping down through 9 and 6, and about 4.5 today). Our workbook includes a sensitivity table showing steady-state earnings and implied value across load and multiple assumptions. We view a load of 8 as a conservative, achievable target that still leaves spare capacity to absorb departures and new wins.</w:t>
      </w:r>
    </w:p>
    <w:p w14:paraId="54A32B24" w14:textId="77777777" w:rsidR="00796B66" w:rsidRDefault="00000000">
      <w:pPr>
        <w:spacing w:after="120" w:line="264" w:lineRule="auto"/>
      </w:pPr>
      <w:r>
        <w:rPr>
          <w:color w:val="000000"/>
        </w:rPr>
        <w:t>At $3.0M, the purchase price represents about 5.4x steady-state adjusted EBITDA. A 7x multiple on the same earnings would support a value of nearly $3.9M, which makes $3.0M attractive.</w:t>
      </w:r>
    </w:p>
    <w:p w14:paraId="12BADF7E" w14:textId="77777777" w:rsidR="00796B66" w:rsidRDefault="00000000">
      <w:pPr>
        <w:pStyle w:val="Heading2"/>
        <w:keepNext/>
        <w:spacing w:before="200" w:after="80"/>
      </w:pPr>
      <w:r>
        <w:rPr>
          <w:b/>
          <w:bCs/>
          <w:color w:val="7B0000"/>
          <w:sz w:val="25"/>
          <w:szCs w:val="25"/>
        </w:rPr>
        <w:t>Payroll judgments we made</w:t>
      </w:r>
    </w:p>
    <w:p w14:paraId="261CAF54" w14:textId="77777777" w:rsidR="00796B66" w:rsidRDefault="00000000">
      <w:pPr>
        <w:spacing w:after="120" w:line="264" w:lineRule="auto"/>
      </w:pPr>
      <w:r>
        <w:rPr>
          <w:color w:val="000000"/>
        </w:rPr>
        <w:t>Different methods for estimating payroll produce very different answers, so we made deliberate choices where the active employee roster and the run rate diverge:</w:t>
      </w:r>
    </w:p>
    <w:p w14:paraId="357EF917" w14:textId="77777777" w:rsidR="00796B66" w:rsidRDefault="00000000">
      <w:pPr>
        <w:pStyle w:val="ListParagraph"/>
        <w:numPr>
          <w:ilvl w:val="0"/>
          <w:numId w:val="2"/>
        </w:numPr>
        <w:spacing w:after="60" w:line="252" w:lineRule="auto"/>
      </w:pPr>
      <w:r>
        <w:rPr>
          <w:b/>
          <w:bCs/>
          <w:color w:val="000000"/>
        </w:rPr>
        <w:t>Client leads:</w:t>
      </w:r>
      <w:r>
        <w:rPr>
          <w:color w:val="000000"/>
        </w:rPr>
        <w:t xml:space="preserve"> We used the run rate (~$426K, including ~$33K for the senior client lead) rather than the active roster (~$380K), because recent departures will likely need to be backfilled.</w:t>
      </w:r>
    </w:p>
    <w:p w14:paraId="6326BD72" w14:textId="77777777" w:rsidR="00796B66" w:rsidRDefault="00000000">
      <w:pPr>
        <w:pStyle w:val="ListParagraph"/>
        <w:numPr>
          <w:ilvl w:val="0"/>
          <w:numId w:val="2"/>
        </w:numPr>
        <w:spacing w:after="60" w:line="252" w:lineRule="auto"/>
      </w:pPr>
      <w:r>
        <w:rPr>
          <w:b/>
          <w:bCs/>
          <w:color w:val="000000"/>
        </w:rPr>
        <w:t>Onboarding team:</w:t>
      </w:r>
      <w:r>
        <w:rPr>
          <w:color w:val="000000"/>
        </w:rPr>
        <w:t xml:space="preserve"> We used the run rate (~$197K) rather than the active roster (~$134K). LTM onboarding wages are about $190K, and the team is currently short-staffed after recent departures. Using the active roster would overstate earnings by about $63K, or roughly $440K of value at a 7x multiple.</w:t>
      </w:r>
    </w:p>
    <w:p w14:paraId="603EB34D" w14:textId="77777777" w:rsidR="00796B66" w:rsidRDefault="00000000">
      <w:pPr>
        <w:pStyle w:val="ListParagraph"/>
        <w:numPr>
          <w:ilvl w:val="0"/>
          <w:numId w:val="2"/>
        </w:numPr>
        <w:spacing w:after="60" w:line="252" w:lineRule="auto"/>
      </w:pPr>
      <w:r>
        <w:rPr>
          <w:b/>
          <w:bCs/>
          <w:color w:val="000000"/>
        </w:rPr>
        <w:t>Bookkeepers:</w:t>
      </w:r>
      <w:r>
        <w:rPr>
          <w:color w:val="000000"/>
        </w:rPr>
        <w:t xml:space="preserve"> We used the active roster (~$493K) rather than the run rate (~$534K) and did not add a backfill, because the team is already heavily overstaffed relative to its client base. Applying the run rate to both bookkeepers and client leads would reduce earnings by about $87K.</w:t>
      </w:r>
    </w:p>
    <w:p w14:paraId="60717899" w14:textId="77777777" w:rsidR="00796B66" w:rsidRDefault="00000000">
      <w:pPr>
        <w:pStyle w:val="ListParagraph"/>
        <w:numPr>
          <w:ilvl w:val="0"/>
          <w:numId w:val="2"/>
        </w:numPr>
        <w:spacing w:after="60" w:line="252" w:lineRule="auto"/>
      </w:pPr>
      <w:r>
        <w:rPr>
          <w:b/>
          <w:bCs/>
          <w:color w:val="000000"/>
        </w:rPr>
        <w:t>Revenue:</w:t>
      </w:r>
      <w:r>
        <w:rPr>
          <w:color w:val="000000"/>
        </w:rPr>
        <w:t xml:space="preserve"> Annualized July revenue is about $3.0M, while the active client list implies about $3.09M. We show the ~$94K difference as a separate “unclassified active client revenue” line and credit only about $51K of contribution from it, since some of it may be non-recurring.</w:t>
      </w:r>
    </w:p>
    <w:p w14:paraId="7C2C676F" w14:textId="77777777" w:rsidR="00796B66" w:rsidRDefault="00000000">
      <w:pPr>
        <w:pStyle w:val="Heading1"/>
        <w:keepNext/>
        <w:spacing w:before="300" w:after="120"/>
      </w:pPr>
      <w:r>
        <w:rPr>
          <w:b/>
          <w:bCs/>
          <w:color w:val="7B0000"/>
          <w:sz w:val="34"/>
          <w:szCs w:val="34"/>
        </w:rPr>
        <w:t>Strategic Rationale for Topkey</w:t>
      </w:r>
    </w:p>
    <w:p w14:paraId="4E891611" w14:textId="77777777" w:rsidR="00796B66" w:rsidRDefault="00000000">
      <w:pPr>
        <w:spacing w:after="120" w:line="264" w:lineRule="auto"/>
      </w:pPr>
      <w:r>
        <w:rPr>
          <w:color w:val="000000"/>
        </w:rPr>
        <w:t>If Ben can stabilize the team, retain key clients, and improve hiring and onboarding, Topkey would acquire a bookkeeping firm with unusually strong characteristics and several paths to create value:</w:t>
      </w:r>
    </w:p>
    <w:p w14:paraId="7C20770B" w14:textId="77777777" w:rsidR="00796B66" w:rsidRDefault="00000000">
      <w:pPr>
        <w:pStyle w:val="ListParagraph"/>
        <w:numPr>
          <w:ilvl w:val="0"/>
          <w:numId w:val="2"/>
        </w:numPr>
        <w:spacing w:after="60" w:line="252" w:lineRule="auto"/>
      </w:pPr>
      <w:r>
        <w:rPr>
          <w:b/>
          <w:bCs/>
          <w:color w:val="000000"/>
        </w:rPr>
        <w:t>Strengthen the product package.</w:t>
      </w:r>
      <w:r>
        <w:rPr>
          <w:color w:val="000000"/>
        </w:rPr>
        <w:t xml:space="preserve"> Topkey’s goal is for sponsor-backed rollups and franchise networks to standardize on it as their financial software provider. A bookkeeping division </w:t>
      </w:r>
      <w:r>
        <w:rPr>
          <w:color w:val="000000"/>
        </w:rPr>
        <w:lastRenderedPageBreak/>
        <w:t>adds a managed-services offering these buyers actively want and deepens Topkey’s competitive moat.</w:t>
      </w:r>
    </w:p>
    <w:p w14:paraId="0483DE48" w14:textId="77777777" w:rsidR="00796B66" w:rsidRDefault="00000000">
      <w:pPr>
        <w:pStyle w:val="ListParagraph"/>
        <w:numPr>
          <w:ilvl w:val="0"/>
          <w:numId w:val="2"/>
        </w:numPr>
        <w:spacing w:after="60" w:line="252" w:lineRule="auto"/>
      </w:pPr>
      <w:r>
        <w:rPr>
          <w:b/>
          <w:bCs/>
          <w:color w:val="000000"/>
        </w:rPr>
        <w:t>Develop trust accounting.</w:t>
      </w:r>
      <w:r>
        <w:rPr>
          <w:color w:val="000000"/>
        </w:rPr>
        <w:t xml:space="preserve"> VR Platform competes with Topkey on trust accounting. Keystone runs 153 clients and roughly 3,650 properties on VR products, which represents $161K of LTM spend (~$179K run rate) and a live environment to build and prove the product.</w:t>
      </w:r>
    </w:p>
    <w:p w14:paraId="51F3183E" w14:textId="77777777" w:rsidR="00796B66" w:rsidRDefault="00000000">
      <w:pPr>
        <w:pStyle w:val="ListParagraph"/>
        <w:numPr>
          <w:ilvl w:val="0"/>
          <w:numId w:val="2"/>
        </w:numPr>
        <w:spacing w:after="60" w:line="252" w:lineRule="auto"/>
      </w:pPr>
      <w:r>
        <w:rPr>
          <w:b/>
          <w:bCs/>
          <w:color w:val="000000"/>
        </w:rPr>
        <w:t>Expand Topkey’s footprint within Keystone.</w:t>
      </w:r>
      <w:r>
        <w:rPr>
          <w:color w:val="000000"/>
        </w:rPr>
        <w:t xml:space="preserve"> Topkey is already the expense tool for 28% of current clients. That leaves 114 clients without an expense tool and a fragmented set of property management systems as future opportunities.</w:t>
      </w:r>
    </w:p>
    <w:p w14:paraId="75F5E32E" w14:textId="77777777" w:rsidR="00796B66" w:rsidRDefault="00000000">
      <w:pPr>
        <w:pStyle w:val="ListParagraph"/>
        <w:numPr>
          <w:ilvl w:val="0"/>
          <w:numId w:val="2"/>
        </w:numPr>
        <w:spacing w:after="60" w:line="252" w:lineRule="auto"/>
      </w:pPr>
      <w:r>
        <w:rPr>
          <w:b/>
          <w:bCs/>
          <w:color w:val="000000"/>
        </w:rPr>
        <w:t>Expand Keystone’s margins.</w:t>
      </w:r>
      <w:r>
        <w:rPr>
          <w:color w:val="000000"/>
        </w:rPr>
        <w:t xml:space="preserve"> Proprietary software that automates client onboarding and recurring bookkeeping workflows would increase the number of clients each employee can support.</w:t>
      </w:r>
    </w:p>
    <w:p w14:paraId="751941AF" w14:textId="77777777" w:rsidR="00796B66" w:rsidRDefault="00000000">
      <w:pPr>
        <w:pBdr>
          <w:left w:val="single" w:sz="24" w:space="8" w:color="990033"/>
        </w:pBdr>
        <w:shd w:val="clear" w:color="auto" w:fill="F7EBEF"/>
        <w:spacing w:before="120" w:after="160" w:line="264" w:lineRule="auto"/>
        <w:ind w:left="180" w:right="120"/>
      </w:pPr>
      <w:r>
        <w:rPr>
          <w:b/>
          <w:bCs/>
          <w:color w:val="7B0000"/>
        </w:rPr>
        <w:t xml:space="preserve">Long-term view:  </w:t>
      </w:r>
      <w:r>
        <w:rPr>
          <w:color w:val="000000"/>
        </w:rPr>
        <w:t>If Keystone reaches roughly $1M of defensible EBITDA over the next five years, a business of that profile could reasonably command close to 10x. On a $3.0M purchase price, that implies an effective entry multiple near 3x on future earnings.</w:t>
      </w:r>
    </w:p>
    <w:p w14:paraId="64F9DF04" w14:textId="77777777" w:rsidR="00796B66" w:rsidRDefault="00000000">
      <w:pPr>
        <w:pStyle w:val="Heading1"/>
        <w:keepNext/>
        <w:spacing w:before="300" w:after="120"/>
      </w:pPr>
      <w:r>
        <w:rPr>
          <w:b/>
          <w:bCs/>
          <w:color w:val="7B0000"/>
          <w:sz w:val="34"/>
          <w:szCs w:val="34"/>
        </w:rPr>
        <w:t>Key Risks and Mitigants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796B66" w14:paraId="567F92F4"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990033"/>
            <w:tcMar>
              <w:top w:w="60" w:type="dxa"/>
              <w:left w:w="100" w:type="dxa"/>
              <w:bottom w:w="60" w:type="dxa"/>
              <w:right w:w="100" w:type="dxa"/>
            </w:tcMar>
          </w:tcPr>
          <w:p w14:paraId="60ED93D0" w14:textId="77777777" w:rsidR="00796B66" w:rsidRDefault="00000000">
            <w:r>
              <w:rPr>
                <w:b/>
                <w:bCs/>
                <w:color w:val="FFFFFF"/>
                <w:sz w:val="20"/>
                <w:szCs w:val="20"/>
              </w:rPr>
              <w:t>Risk</w:t>
            </w:r>
          </w:p>
        </w:tc>
        <w:tc>
          <w:tcPr>
            <w:tcW w:w="3380" w:type="dxa"/>
            <w:tcBorders>
              <w:top w:val="single" w:sz="4" w:space="0" w:color="BFBFBF"/>
              <w:left w:val="single" w:sz="4" w:space="0" w:color="BFBFBF"/>
              <w:bottom w:val="single" w:sz="4" w:space="0" w:color="BFBFBF"/>
              <w:right w:val="single" w:sz="4" w:space="0" w:color="BFBFBF"/>
            </w:tcBorders>
            <w:shd w:val="clear" w:color="auto" w:fill="990033"/>
            <w:tcMar>
              <w:top w:w="60" w:type="dxa"/>
              <w:left w:w="100" w:type="dxa"/>
              <w:bottom w:w="60" w:type="dxa"/>
              <w:right w:w="100" w:type="dxa"/>
            </w:tcMar>
          </w:tcPr>
          <w:p w14:paraId="154C79F7" w14:textId="77777777" w:rsidR="00796B66" w:rsidRDefault="00000000">
            <w:r>
              <w:rPr>
                <w:b/>
                <w:bCs/>
                <w:color w:val="FFFFFF"/>
                <w:sz w:val="20"/>
                <w:szCs w:val="20"/>
              </w:rPr>
              <w:t>What We See</w:t>
            </w:r>
          </w:p>
        </w:tc>
        <w:tc>
          <w:tcPr>
            <w:tcW w:w="3380" w:type="dxa"/>
            <w:tcBorders>
              <w:top w:val="single" w:sz="4" w:space="0" w:color="BFBFBF"/>
              <w:left w:val="single" w:sz="4" w:space="0" w:color="BFBFBF"/>
              <w:bottom w:val="single" w:sz="4" w:space="0" w:color="BFBFBF"/>
              <w:right w:val="single" w:sz="4" w:space="0" w:color="BFBFBF"/>
            </w:tcBorders>
            <w:shd w:val="clear" w:color="auto" w:fill="990033"/>
            <w:tcMar>
              <w:top w:w="60" w:type="dxa"/>
              <w:left w:w="100" w:type="dxa"/>
              <w:bottom w:w="60" w:type="dxa"/>
              <w:right w:w="100" w:type="dxa"/>
            </w:tcMar>
          </w:tcPr>
          <w:p w14:paraId="31EFC5AF" w14:textId="77777777" w:rsidR="00796B66" w:rsidRDefault="00000000">
            <w:r>
              <w:rPr>
                <w:b/>
                <w:bCs/>
                <w:color w:val="FFFFFF"/>
                <w:sz w:val="20"/>
                <w:szCs w:val="20"/>
              </w:rPr>
              <w:t>Potential Mitigant</w:t>
            </w:r>
          </w:p>
        </w:tc>
      </w:tr>
      <w:tr w:rsidR="00796B66" w14:paraId="438C2A4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35864F" w14:textId="77777777" w:rsidR="00796B66" w:rsidRDefault="00000000">
            <w:r>
              <w:rPr>
                <w:color w:val="000000"/>
                <w:sz w:val="20"/>
                <w:szCs w:val="20"/>
              </w:rPr>
              <w:t>Employee turnover</w:t>
            </w:r>
          </w:p>
        </w:tc>
        <w:tc>
          <w:tcPr>
            <w:tcW w:w="33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6E8593" w14:textId="77777777" w:rsidR="00796B66" w:rsidRDefault="00000000">
            <w:r>
              <w:rPr>
                <w:color w:val="000000"/>
                <w:sz w:val="20"/>
                <w:szCs w:val="20"/>
              </w:rPr>
              <w:t>24 departures since May; resignations up from 7 in 2025 to 15 in 2026; tenured staff leaving</w:t>
            </w:r>
          </w:p>
        </w:tc>
        <w:tc>
          <w:tcPr>
            <w:tcW w:w="33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07426D" w14:textId="77777777" w:rsidR="00796B66" w:rsidRDefault="00000000">
            <w:r>
              <w:rPr>
                <w:color w:val="000000"/>
                <w:sz w:val="20"/>
                <w:szCs w:val="20"/>
              </w:rPr>
              <w:t>Retention bonuses, stronger front-end screening, tie Ben’s comp to retention targets</w:t>
            </w:r>
          </w:p>
        </w:tc>
      </w:tr>
      <w:tr w:rsidR="00796B66" w14:paraId="5957743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33E1DEF" w14:textId="77777777" w:rsidR="00796B66" w:rsidRDefault="00000000">
            <w:r>
              <w:rPr>
                <w:color w:val="000000"/>
                <w:sz w:val="20"/>
                <w:szCs w:val="20"/>
              </w:rPr>
              <w:t>Client concentration</w:t>
            </w:r>
          </w:p>
        </w:tc>
        <w:tc>
          <w:tcPr>
            <w:tcW w:w="33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0F529C" w14:textId="77777777" w:rsidR="00796B66" w:rsidRDefault="00000000">
            <w:r>
              <w:rPr>
                <w:color w:val="000000"/>
                <w:sz w:val="20"/>
                <w:szCs w:val="20"/>
              </w:rPr>
              <w:t>Top 20 = 32.3% of revenue; top 5 = ~$434K; several large clients are new</w:t>
            </w:r>
          </w:p>
        </w:tc>
        <w:tc>
          <w:tcPr>
            <w:tcW w:w="33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3E0FD05" w14:textId="77777777" w:rsidR="00796B66" w:rsidRDefault="00000000">
            <w:r>
              <w:rPr>
                <w:color w:val="000000"/>
                <w:sz w:val="20"/>
                <w:szCs w:val="20"/>
              </w:rPr>
              <w:t>Retention-based holdback and/or incentive comp tied to client retention</w:t>
            </w:r>
          </w:p>
        </w:tc>
      </w:tr>
      <w:tr w:rsidR="00796B66" w14:paraId="301533A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1171AB" w14:textId="77777777" w:rsidR="00796B66" w:rsidRDefault="00000000">
            <w:r>
              <w:rPr>
                <w:color w:val="000000"/>
                <w:sz w:val="20"/>
                <w:szCs w:val="20"/>
              </w:rPr>
              <w:t>Client churn</w:t>
            </w:r>
          </w:p>
        </w:tc>
        <w:tc>
          <w:tcPr>
            <w:tcW w:w="33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4255E2" w14:textId="77777777" w:rsidR="00796B66" w:rsidRDefault="00000000">
            <w:r>
              <w:rPr>
                <w:color w:val="000000"/>
                <w:sz w:val="20"/>
                <w:szCs w:val="20"/>
              </w:rPr>
              <w:t>Client count down from 209 to 190 since April; 82 LTM losses</w:t>
            </w:r>
          </w:p>
        </w:tc>
        <w:tc>
          <w:tcPr>
            <w:tcW w:w="33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E591C0" w14:textId="77777777" w:rsidR="00796B66" w:rsidRDefault="00000000">
            <w:r>
              <w:rPr>
                <w:color w:val="000000"/>
                <w:sz w:val="20"/>
                <w:szCs w:val="20"/>
              </w:rPr>
              <w:t>Confirm pipeline with Ben; incentives tied to net client growth</w:t>
            </w:r>
          </w:p>
        </w:tc>
      </w:tr>
      <w:tr w:rsidR="00796B66" w14:paraId="5AB0712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6AD998" w14:textId="77777777" w:rsidR="00796B66" w:rsidRDefault="00000000">
            <w:r>
              <w:rPr>
                <w:color w:val="000000"/>
                <w:sz w:val="20"/>
                <w:szCs w:val="20"/>
              </w:rPr>
              <w:t>Owner dependence</w:t>
            </w:r>
          </w:p>
        </w:tc>
        <w:tc>
          <w:tcPr>
            <w:tcW w:w="33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62A6CD7" w14:textId="77777777" w:rsidR="00796B66" w:rsidRDefault="00000000">
            <w:r>
              <w:rPr>
                <w:color w:val="000000"/>
                <w:sz w:val="20"/>
                <w:szCs w:val="20"/>
              </w:rPr>
              <w:t>Ben still services fractional CFO clients (~$183K)</w:t>
            </w:r>
          </w:p>
        </w:tc>
        <w:tc>
          <w:tcPr>
            <w:tcW w:w="33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9E5F07" w14:textId="77777777" w:rsidR="00796B66" w:rsidRDefault="00000000">
            <w:r>
              <w:rPr>
                <w:color w:val="000000"/>
                <w:sz w:val="20"/>
                <w:szCs w:val="20"/>
              </w:rPr>
              <w:t>Transition plan; likely COO hire over time to run service delivery</w:t>
            </w:r>
          </w:p>
        </w:tc>
      </w:tr>
      <w:tr w:rsidR="00796B66" w14:paraId="6358441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DF298D3" w14:textId="77777777" w:rsidR="00796B66" w:rsidRDefault="00000000">
            <w:r>
              <w:rPr>
                <w:color w:val="000000"/>
                <w:sz w:val="20"/>
                <w:szCs w:val="20"/>
              </w:rPr>
              <w:t>Near-term earnings</w:t>
            </w:r>
          </w:p>
        </w:tc>
        <w:tc>
          <w:tcPr>
            <w:tcW w:w="33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DDA973" w14:textId="77777777" w:rsidR="00796B66" w:rsidRDefault="00000000">
            <w:r>
              <w:rPr>
                <w:color w:val="000000"/>
                <w:sz w:val="20"/>
                <w:szCs w:val="20"/>
              </w:rPr>
              <w:t>Approx. –$166K before software savings; $54K after</w:t>
            </w:r>
          </w:p>
        </w:tc>
        <w:tc>
          <w:tcPr>
            <w:tcW w:w="33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BA6F9A" w14:textId="77777777" w:rsidR="00796B66" w:rsidRDefault="00000000">
            <w:r>
              <w:rPr>
                <w:color w:val="000000"/>
                <w:sz w:val="20"/>
                <w:szCs w:val="20"/>
              </w:rPr>
              <w:t>Structure as a long-term investment; value off the client base, not current EBITDA</w:t>
            </w:r>
          </w:p>
        </w:tc>
      </w:tr>
      <w:tr w:rsidR="00796B66" w14:paraId="36B7160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38AB00" w14:textId="77777777" w:rsidR="00796B66" w:rsidRDefault="00000000">
            <w:r>
              <w:rPr>
                <w:color w:val="000000"/>
                <w:sz w:val="20"/>
                <w:szCs w:val="20"/>
              </w:rPr>
              <w:t>Onboarding capacity</w:t>
            </w:r>
          </w:p>
        </w:tc>
        <w:tc>
          <w:tcPr>
            <w:tcW w:w="33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0502E1" w14:textId="77777777" w:rsidR="00796B66" w:rsidRDefault="00000000">
            <w:r>
              <w:rPr>
                <w:color w:val="000000"/>
                <w:sz w:val="20"/>
                <w:szCs w:val="20"/>
              </w:rPr>
              <w:t>Team down to 8; only 1 of 4 recent hires remains</w:t>
            </w:r>
          </w:p>
        </w:tc>
        <w:tc>
          <w:tcPr>
            <w:tcW w:w="33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C4C5073" w14:textId="77777777" w:rsidR="00796B66" w:rsidRDefault="00000000">
            <w:r>
              <w:rPr>
                <w:color w:val="000000"/>
                <w:sz w:val="20"/>
                <w:szCs w:val="20"/>
              </w:rPr>
              <w:t>Confirm onboarding manager hire and steady-state team size</w:t>
            </w:r>
          </w:p>
        </w:tc>
      </w:tr>
      <w:tr w:rsidR="00796B66" w14:paraId="6C0D99F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D50AF9" w14:textId="77777777" w:rsidR="00796B66" w:rsidRDefault="00000000">
            <w:r>
              <w:rPr>
                <w:color w:val="000000"/>
                <w:sz w:val="20"/>
                <w:szCs w:val="20"/>
              </w:rPr>
              <w:t>Offshore labor</w:t>
            </w:r>
          </w:p>
        </w:tc>
        <w:tc>
          <w:tcPr>
            <w:tcW w:w="33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12B2AD" w14:textId="77777777" w:rsidR="00796B66" w:rsidRDefault="00000000">
            <w:r>
              <w:rPr>
                <w:color w:val="000000"/>
                <w:sz w:val="20"/>
                <w:szCs w:val="20"/>
              </w:rPr>
              <w:t>Potential labor-law exposure not reflected in current costs</w:t>
            </w:r>
          </w:p>
        </w:tc>
        <w:tc>
          <w:tcPr>
            <w:tcW w:w="33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5D3D83" w14:textId="77777777" w:rsidR="00796B66" w:rsidRDefault="00000000">
            <w:r>
              <w:rPr>
                <w:color w:val="000000"/>
                <w:sz w:val="20"/>
                <w:szCs w:val="20"/>
              </w:rPr>
              <w:t>Diligence likelihood and magnitude before LOI terms are finalized</w:t>
            </w:r>
          </w:p>
        </w:tc>
      </w:tr>
      <w:tr w:rsidR="00796B66" w14:paraId="25F6DAA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0D773BD" w14:textId="77777777" w:rsidR="00796B66" w:rsidRDefault="00000000">
            <w:r>
              <w:rPr>
                <w:color w:val="000000"/>
                <w:sz w:val="20"/>
                <w:szCs w:val="20"/>
              </w:rPr>
              <w:t>Software replacement</w:t>
            </w:r>
          </w:p>
        </w:tc>
        <w:tc>
          <w:tcPr>
            <w:tcW w:w="33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47FF4B3" w14:textId="77777777" w:rsidR="00796B66" w:rsidRDefault="00000000">
            <w:r>
              <w:rPr>
                <w:color w:val="000000"/>
                <w:sz w:val="20"/>
                <w:szCs w:val="20"/>
              </w:rPr>
              <w:t>~$276K of combined savings depends on completing and deploying tools</w:t>
            </w:r>
          </w:p>
        </w:tc>
        <w:tc>
          <w:tcPr>
            <w:tcW w:w="33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BDB4519" w14:textId="77777777" w:rsidR="00796B66" w:rsidRDefault="00000000">
            <w:r>
              <w:rPr>
                <w:color w:val="000000"/>
                <w:sz w:val="20"/>
                <w:szCs w:val="20"/>
              </w:rPr>
              <w:t>Tech demo with Ben to review development status and roadmap</w:t>
            </w:r>
          </w:p>
        </w:tc>
      </w:tr>
    </w:tbl>
    <w:p w14:paraId="0A2E006C" w14:textId="77777777" w:rsidR="00796B66" w:rsidRDefault="00000000">
      <w:pPr>
        <w:pStyle w:val="Heading1"/>
        <w:keepNext/>
        <w:spacing w:before="300" w:after="120"/>
      </w:pPr>
      <w:r>
        <w:rPr>
          <w:b/>
          <w:bCs/>
          <w:color w:val="7B0000"/>
          <w:sz w:val="34"/>
          <w:szCs w:val="34"/>
        </w:rPr>
        <w:t>Valuation and Deal Structure Considerations</w:t>
      </w:r>
    </w:p>
    <w:p w14:paraId="21D2EFF9" w14:textId="77777777" w:rsidR="00796B66" w:rsidRDefault="00000000">
      <w:pPr>
        <w:pStyle w:val="Heading2"/>
        <w:keepNext/>
        <w:spacing w:before="200" w:after="80"/>
      </w:pPr>
      <w:r>
        <w:rPr>
          <w:b/>
          <w:bCs/>
          <w:color w:val="7B0000"/>
          <w:sz w:val="25"/>
          <w:szCs w:val="25"/>
        </w:rPr>
        <w:t>Recommended framing</w:t>
      </w:r>
    </w:p>
    <w:p w14:paraId="344CFAE6" w14:textId="77777777" w:rsidR="00796B66" w:rsidRDefault="00000000">
      <w:pPr>
        <w:spacing w:after="120" w:line="264" w:lineRule="auto"/>
      </w:pPr>
      <w:r>
        <w:rPr>
          <w:color w:val="000000"/>
        </w:rPr>
        <w:t xml:space="preserve">We recommend valuing Keystone at approximately 1x revenue based on the current active client base (not LTM), which gives Ben full credit for recent growth. Consideration would include cash up </w:t>
      </w:r>
      <w:r>
        <w:rPr>
          <w:color w:val="000000"/>
        </w:rPr>
        <w:lastRenderedPageBreak/>
        <w:t>to the roughly $500K available on Topkey’s balance sheet, with the balance paid in Topkey equity in exchange for Ben’s Keystone equity. Following the transaction, Ben would own roughly 5% of Topkey.</w:t>
      </w:r>
    </w:p>
    <w:p w14:paraId="0842226C" w14:textId="77777777" w:rsidR="00796B66" w:rsidRDefault="00000000">
      <w:pPr>
        <w:spacing w:after="120" w:line="264" w:lineRule="auto"/>
      </w:pPr>
      <w:r>
        <w:rPr>
          <w:color w:val="000000"/>
        </w:rPr>
        <w:t>Because the business will operate near breakeven until software savings and staffing normalization take hold, this is not a cash flow purchase. It is a long-term investment in which Topkey is underwriting the execution risk to reach steady state, and the offer should be positioned that way.</w:t>
      </w:r>
    </w:p>
    <w:p w14:paraId="6C2F4D0B" w14:textId="77777777" w:rsidR="00796B66" w:rsidRDefault="00000000">
      <w:pPr>
        <w:pStyle w:val="Heading2"/>
        <w:keepNext/>
        <w:spacing w:before="200" w:after="80"/>
      </w:pPr>
      <w:r>
        <w:rPr>
          <w:b/>
          <w:bCs/>
          <w:color w:val="7B0000"/>
          <w:sz w:val="25"/>
          <w:szCs w:val="25"/>
        </w:rPr>
        <w:t>Aligning Ben’s incentives</w:t>
      </w:r>
    </w:p>
    <w:p w14:paraId="6DAB8798" w14:textId="77777777" w:rsidR="00796B66" w:rsidRDefault="00000000">
      <w:pPr>
        <w:spacing w:after="120" w:line="264" w:lineRule="auto"/>
      </w:pPr>
      <w:r>
        <w:rPr>
          <w:color w:val="000000"/>
        </w:rPr>
        <w:t>Client concentration would normally call for a contingent holdback (for example, $500K released over 12–24 months). Here, Ben’s continued commitment matters more than any single client, so we favor positive incentives over purely downside protection, potentially in combination with a smaller holdback:</w:t>
      </w:r>
    </w:p>
    <w:p w14:paraId="687DC1EF" w14:textId="77777777" w:rsidR="00796B66" w:rsidRDefault="00000000">
      <w:pPr>
        <w:pStyle w:val="ListParagraph"/>
        <w:numPr>
          <w:ilvl w:val="0"/>
          <w:numId w:val="2"/>
        </w:numPr>
        <w:spacing w:after="60" w:line="252" w:lineRule="auto"/>
      </w:pPr>
      <w:r>
        <w:rPr>
          <w:b/>
          <w:bCs/>
          <w:color w:val="000000"/>
        </w:rPr>
        <w:t>Performance-based compensation.</w:t>
      </w:r>
      <w:r>
        <w:rPr>
          <w:color w:val="000000"/>
        </w:rPr>
        <w:t xml:space="preserve"> Ben currently earns about $228K ($108K in salary and $120K in distributions). We suggest a base of around $150K rising toward $250K as milestones are met, such as employee retention, client retention, and net client growth.</w:t>
      </w:r>
    </w:p>
    <w:p w14:paraId="3B85E76F" w14:textId="77777777" w:rsidR="00796B66" w:rsidRDefault="00000000">
      <w:pPr>
        <w:pStyle w:val="ListParagraph"/>
        <w:numPr>
          <w:ilvl w:val="0"/>
          <w:numId w:val="2"/>
        </w:numPr>
        <w:spacing w:after="60" w:line="252" w:lineRule="auto"/>
      </w:pPr>
      <w:r>
        <w:rPr>
          <w:b/>
          <w:bCs/>
          <w:color w:val="000000"/>
        </w:rPr>
        <w:t>No vesting on his rollover equity,</w:t>
      </w:r>
      <w:r>
        <w:rPr>
          <w:color w:val="000000"/>
        </w:rPr>
        <w:t xml:space="preserve"> since vesting would undermine the purpose of the sale and make the offer unattractive.</w:t>
      </w:r>
    </w:p>
    <w:p w14:paraId="1B0C5F99" w14:textId="77777777" w:rsidR="00796B66" w:rsidRDefault="00000000">
      <w:pPr>
        <w:pStyle w:val="ListParagraph"/>
        <w:numPr>
          <w:ilvl w:val="0"/>
          <w:numId w:val="2"/>
        </w:numPr>
        <w:spacing w:after="60" w:line="252" w:lineRule="auto"/>
      </w:pPr>
      <w:r>
        <w:rPr>
          <w:b/>
          <w:bCs/>
          <w:color w:val="000000"/>
        </w:rPr>
        <w:t>Right, but not obligation, to repurchase</w:t>
      </w:r>
      <w:r>
        <w:rPr>
          <w:color w:val="000000"/>
        </w:rPr>
        <w:t xml:space="preserve"> Ben’s Topkey equity at fair market value if he departs Keystone.</w:t>
      </w:r>
    </w:p>
    <w:p w14:paraId="44BC34FE" w14:textId="77777777" w:rsidR="00796B66" w:rsidRDefault="00000000">
      <w:pPr>
        <w:pStyle w:val="ListParagraph"/>
        <w:numPr>
          <w:ilvl w:val="0"/>
          <w:numId w:val="2"/>
        </w:numPr>
        <w:spacing w:after="60" w:line="252" w:lineRule="auto"/>
      </w:pPr>
      <w:r>
        <w:rPr>
          <w:b/>
          <w:bCs/>
          <w:color w:val="000000"/>
        </w:rPr>
        <w:t>Bonus or distribution-share agreement,</w:t>
      </w:r>
      <w:r>
        <w:rPr>
          <w:color w:val="000000"/>
        </w:rPr>
        <w:t xml:space="preserve"> since Topkey may remain around breakeven for several years and Ben is accustomed to taking distributions. A bonus agreement may be cleaner than adding distribution language to the equity agreement.</w:t>
      </w:r>
    </w:p>
    <w:p w14:paraId="0349C7E6" w14:textId="77777777" w:rsidR="00796B66" w:rsidRDefault="00000000">
      <w:pPr>
        <w:pStyle w:val="Heading2"/>
        <w:keepNext/>
        <w:spacing w:before="200" w:after="80"/>
      </w:pPr>
      <w:r>
        <w:rPr>
          <w:b/>
          <w:bCs/>
          <w:color w:val="7B0000"/>
          <w:sz w:val="25"/>
          <w:szCs w:val="25"/>
        </w:rPr>
        <w:t>Tax structure as a price lever</w:t>
      </w:r>
    </w:p>
    <w:p w14:paraId="40866AF1" w14:textId="77777777" w:rsidR="00796B66" w:rsidRDefault="00000000">
      <w:pPr>
        <w:spacing w:after="120" w:line="264" w:lineRule="auto"/>
      </w:pPr>
      <w:r>
        <w:rPr>
          <w:color w:val="000000"/>
        </w:rPr>
        <w:t>Keystone is an S corporation with likely low tax basis. A stock-heavy structure (approximately 83% stock and 17% cash on a $3.0M price) sits well above the continuity-of-interest levels generally associated with tax-deferred reorganizations. In that structure, Ben would defer tax on the stock portion and recognize gain only on the cash received.</w:t>
      </w:r>
    </w:p>
    <w:p w14:paraId="7FC175B8" w14:textId="77777777" w:rsidR="00796B66" w:rsidRDefault="00000000">
      <w:pPr>
        <w:spacing w:after="120" w:line="264" w:lineRule="auto"/>
      </w:pPr>
      <w:r>
        <w:rPr>
          <w:color w:val="000000"/>
        </w:rPr>
        <w:t>We estimate this could save Ben roughly $500K–$700K compared with receiving $3.0M in a fully taxable transaction. Because Topkey is currently loss-making, the asset basis step-up it would forgo has limited present value. In other words, Topkey gives up something relatively inexpensive to deliver something valuable to the seller.</w:t>
      </w:r>
    </w:p>
    <w:p w14:paraId="3BCE0057" w14:textId="77777777" w:rsidR="00796B66" w:rsidRDefault="00000000">
      <w:pPr>
        <w:spacing w:after="120" w:line="264" w:lineRule="auto"/>
      </w:pPr>
      <w:r>
        <w:rPr>
          <w:color w:val="000000"/>
        </w:rPr>
        <w:t>On an after-tax basis, a $3.0M tax-deferred deal may leave Ben better off than a $3.4M–$3.5M taxable sale. We recommend modeling both side by side before negotiating headline price.</w:t>
      </w:r>
    </w:p>
    <w:p w14:paraId="68EFE40B" w14:textId="77777777" w:rsidR="00796B66" w:rsidRDefault="00000000">
      <w:pPr>
        <w:spacing w:after="120" w:line="264" w:lineRule="auto"/>
      </w:pPr>
      <w:r>
        <w:rPr>
          <w:i/>
          <w:iCs/>
          <w:color w:val="000000"/>
          <w:sz w:val="20"/>
          <w:szCs w:val="20"/>
        </w:rPr>
        <w:t>This structure should be confirmed with a qualified tax advisor. AMB is not providing tax or legal advice.</w:t>
      </w:r>
    </w:p>
    <w:p w14:paraId="560C5D0D" w14:textId="77777777" w:rsidR="00796B66" w:rsidRDefault="00000000">
      <w:pPr>
        <w:pStyle w:val="Heading2"/>
        <w:keepNext/>
        <w:spacing w:before="200" w:after="80"/>
      </w:pPr>
      <w:r>
        <w:rPr>
          <w:b/>
          <w:bCs/>
          <w:color w:val="7B0000"/>
          <w:sz w:val="25"/>
          <w:szCs w:val="25"/>
        </w:rPr>
        <w:t>Suggested negotiation sequence</w:t>
      </w:r>
    </w:p>
    <w:p w14:paraId="335A9A82" w14:textId="77777777" w:rsidR="00796B66" w:rsidRDefault="00000000">
      <w:pPr>
        <w:pStyle w:val="ListParagraph"/>
        <w:numPr>
          <w:ilvl w:val="0"/>
          <w:numId w:val="2"/>
        </w:numPr>
        <w:spacing w:after="60" w:line="252" w:lineRule="auto"/>
      </w:pPr>
      <w:r>
        <w:rPr>
          <w:color w:val="000000"/>
        </w:rPr>
        <w:t>Open with the 1x revenue framework based on the active client base, and ask Ben what price and cash amount he has in mind rather than anchoring on a multiple.</w:t>
      </w:r>
    </w:p>
    <w:p w14:paraId="35E63E73" w14:textId="77777777" w:rsidR="00796B66" w:rsidRDefault="00000000">
      <w:pPr>
        <w:pStyle w:val="ListParagraph"/>
        <w:numPr>
          <w:ilvl w:val="0"/>
          <w:numId w:val="2"/>
        </w:numPr>
        <w:spacing w:after="60" w:line="252" w:lineRule="auto"/>
      </w:pPr>
      <w:r>
        <w:rPr>
          <w:color w:val="000000"/>
        </w:rPr>
        <w:t>If Ben pushes back, explain that Topkey is paying full price today for a business that will operate near breakeven in the near term, and is taking on execution risk to reach steady state.</w:t>
      </w:r>
    </w:p>
    <w:p w14:paraId="5CF697B8" w14:textId="77777777" w:rsidR="00796B66" w:rsidRDefault="00000000">
      <w:pPr>
        <w:pStyle w:val="ListParagraph"/>
        <w:numPr>
          <w:ilvl w:val="0"/>
          <w:numId w:val="2"/>
        </w:numPr>
        <w:spacing w:after="60" w:line="252" w:lineRule="auto"/>
      </w:pPr>
      <w:r>
        <w:rPr>
          <w:color w:val="000000"/>
        </w:rPr>
        <w:lastRenderedPageBreak/>
        <w:t>If he pushes further, walk through the staffing and leadership turnover data. At the current pace, personnel issues could take time to resolve, drive additional client churn, and distract from growth.</w:t>
      </w:r>
    </w:p>
    <w:p w14:paraId="7B2754CB" w14:textId="77777777" w:rsidR="00796B66" w:rsidRDefault="00000000">
      <w:pPr>
        <w:pStyle w:val="ListParagraph"/>
        <w:numPr>
          <w:ilvl w:val="0"/>
          <w:numId w:val="2"/>
        </w:numPr>
        <w:spacing w:after="60" w:line="252" w:lineRule="auto"/>
      </w:pPr>
      <w:r>
        <w:rPr>
          <w:color w:val="000000"/>
        </w:rPr>
        <w:t>On a follow-up call, present the tax-deferred structure. After tax, $3.0M delivers value comparable to roughly $3.5M in cash, which addresses Ben’s desire for more value while protecting Topkey’s downside.</w:t>
      </w:r>
    </w:p>
    <w:p w14:paraId="2EECDF9E" w14:textId="77777777" w:rsidR="00796B66" w:rsidRDefault="00000000">
      <w:pPr>
        <w:pStyle w:val="Heading1"/>
        <w:keepNext/>
        <w:spacing w:before="300" w:after="120"/>
      </w:pPr>
      <w:r>
        <w:rPr>
          <w:b/>
          <w:bCs/>
          <w:color w:val="7B0000"/>
          <w:sz w:val="34"/>
          <w:szCs w:val="34"/>
        </w:rPr>
        <w:t>Questions for Ben</w:t>
      </w:r>
    </w:p>
    <w:p w14:paraId="504B6B37" w14:textId="77777777" w:rsidR="00796B66" w:rsidRDefault="00000000">
      <w:pPr>
        <w:pStyle w:val="ListParagraph"/>
        <w:numPr>
          <w:ilvl w:val="0"/>
          <w:numId w:val="2"/>
        </w:numPr>
        <w:spacing w:after="60" w:line="252" w:lineRule="auto"/>
      </w:pPr>
      <w:r>
        <w:rPr>
          <w:color w:val="000000"/>
        </w:rPr>
        <w:t>What happened on 8/10/2026 when three long-tenured employees departed together, and what is behind the September client lead resignations?</w:t>
      </w:r>
    </w:p>
    <w:p w14:paraId="785D0D5F" w14:textId="77777777" w:rsidR="00796B66" w:rsidRDefault="00000000">
      <w:pPr>
        <w:pStyle w:val="ListParagraph"/>
        <w:numPr>
          <w:ilvl w:val="0"/>
          <w:numId w:val="2"/>
        </w:numPr>
        <w:spacing w:after="60" w:line="252" w:lineRule="auto"/>
      </w:pPr>
      <w:r>
        <w:rPr>
          <w:color w:val="000000"/>
        </w:rPr>
        <w:t>What is driving the rise in resignations since May, and what is the current recruiting and screening process?</w:t>
      </w:r>
    </w:p>
    <w:p w14:paraId="24D6E109" w14:textId="77777777" w:rsidR="00796B66" w:rsidRDefault="00000000">
      <w:pPr>
        <w:pStyle w:val="ListParagraph"/>
        <w:numPr>
          <w:ilvl w:val="0"/>
          <w:numId w:val="2"/>
        </w:numPr>
        <w:spacing w:after="60" w:line="252" w:lineRule="auto"/>
      </w:pPr>
      <w:r>
        <w:rPr>
          <w:color w:val="000000"/>
        </w:rPr>
        <w:t>What is behind the drop in client count from 209 in April to 190 today, and what does the current pipeline look like?</w:t>
      </w:r>
    </w:p>
    <w:p w14:paraId="6283E2EB" w14:textId="77777777" w:rsidR="00796B66" w:rsidRDefault="00000000">
      <w:pPr>
        <w:pStyle w:val="ListParagraph"/>
        <w:numPr>
          <w:ilvl w:val="0"/>
          <w:numId w:val="2"/>
        </w:numPr>
        <w:spacing w:after="60" w:line="252" w:lineRule="auto"/>
      </w:pPr>
      <w:r>
        <w:rPr>
          <w:color w:val="000000"/>
        </w:rPr>
        <w:t>What normalized bookkeeper, client lead, and accounting manager loads do you target?</w:t>
      </w:r>
    </w:p>
    <w:p w14:paraId="78A54A9A" w14:textId="77777777" w:rsidR="00796B66" w:rsidRDefault="00000000">
      <w:pPr>
        <w:pStyle w:val="ListParagraph"/>
        <w:numPr>
          <w:ilvl w:val="0"/>
          <w:numId w:val="2"/>
        </w:numPr>
        <w:spacing w:after="60" w:line="252" w:lineRule="auto"/>
      </w:pPr>
      <w:r>
        <w:rPr>
          <w:color w:val="000000"/>
        </w:rPr>
        <w:t>What will the onboarding manager be paid, and how large does the onboarding team need to be at steady state?</w:t>
      </w:r>
    </w:p>
    <w:p w14:paraId="782BF219" w14:textId="77777777" w:rsidR="00796B66" w:rsidRDefault="00000000">
      <w:pPr>
        <w:pStyle w:val="ListParagraph"/>
        <w:numPr>
          <w:ilvl w:val="0"/>
          <w:numId w:val="2"/>
        </w:numPr>
        <w:spacing w:after="60" w:line="252" w:lineRule="auto"/>
      </w:pPr>
      <w:r>
        <w:rPr>
          <w:color w:val="000000"/>
        </w:rPr>
        <w:t>What is the development status of the Xenett, Uncat, and Karbon replacements, and when will savings be realized?</w:t>
      </w:r>
    </w:p>
    <w:p w14:paraId="48F3A889" w14:textId="77777777" w:rsidR="00796B66" w:rsidRDefault="00000000">
      <w:pPr>
        <w:pStyle w:val="ListParagraph"/>
        <w:numPr>
          <w:ilvl w:val="0"/>
          <w:numId w:val="2"/>
        </w:numPr>
        <w:spacing w:after="60" w:line="252" w:lineRule="auto"/>
      </w:pPr>
      <w:r>
        <w:rPr>
          <w:color w:val="000000"/>
        </w:rPr>
        <w:t>How should we think about the ~$94K of active client revenue that is not yet classified?</w:t>
      </w:r>
    </w:p>
    <w:p w14:paraId="4695688F" w14:textId="77777777" w:rsidR="00796B66" w:rsidRDefault="00000000">
      <w:pPr>
        <w:pStyle w:val="ListParagraph"/>
        <w:numPr>
          <w:ilvl w:val="0"/>
          <w:numId w:val="2"/>
        </w:numPr>
        <w:spacing w:after="60" w:line="252" w:lineRule="auto"/>
      </w:pPr>
      <w:r>
        <w:rPr>
          <w:color w:val="000000"/>
        </w:rPr>
        <w:t>Who will take over the fractional CFO relationships and the largest recently won accounts, and how do those clients view a transition?</w:t>
      </w:r>
    </w:p>
    <w:p w14:paraId="6CD91927" w14:textId="77777777" w:rsidR="00796B66" w:rsidRDefault="00000000">
      <w:pPr>
        <w:pStyle w:val="ListParagraph"/>
        <w:numPr>
          <w:ilvl w:val="0"/>
          <w:numId w:val="2"/>
        </w:numPr>
        <w:spacing w:after="60" w:line="252" w:lineRule="auto"/>
      </w:pPr>
      <w:r>
        <w:rPr>
          <w:color w:val="000000"/>
        </w:rPr>
        <w:t>How is the offshore team engaged, and are there any labor-law considerations we should understand?</w:t>
      </w:r>
    </w:p>
    <w:p w14:paraId="5FA6D9E3" w14:textId="77777777" w:rsidR="00796B66" w:rsidRDefault="00000000">
      <w:pPr>
        <w:pStyle w:val="ListParagraph"/>
        <w:numPr>
          <w:ilvl w:val="0"/>
          <w:numId w:val="2"/>
        </w:numPr>
        <w:spacing w:after="60" w:line="252" w:lineRule="auto"/>
      </w:pPr>
      <w:r>
        <w:rPr>
          <w:color w:val="000000"/>
        </w:rPr>
        <w:t>How much cash would you need at close, and how do you view receiving the balance in Topkey equity?</w:t>
      </w:r>
    </w:p>
    <w:p w14:paraId="1F01C8E3" w14:textId="77777777" w:rsidR="00796B66" w:rsidRDefault="00000000">
      <w:pPr>
        <w:pStyle w:val="Heading1"/>
        <w:keepNext/>
        <w:spacing w:before="300" w:after="120"/>
      </w:pPr>
      <w:r>
        <w:rPr>
          <w:b/>
          <w:bCs/>
          <w:color w:val="7B0000"/>
          <w:sz w:val="34"/>
          <w:szCs w:val="34"/>
        </w:rPr>
        <w:t>Proposed Next Steps</w:t>
      </w:r>
    </w:p>
    <w:p w14:paraId="228463C4" w14:textId="77777777" w:rsidR="00796B66" w:rsidRDefault="00000000">
      <w:pPr>
        <w:pStyle w:val="ListParagraph"/>
        <w:numPr>
          <w:ilvl w:val="0"/>
          <w:numId w:val="3"/>
        </w:numPr>
        <w:spacing w:after="60"/>
      </w:pPr>
      <w:r>
        <w:rPr>
          <w:b/>
          <w:bCs/>
          <w:color w:val="000000"/>
        </w:rPr>
        <w:t>Topkey and AMB working session (this week).</w:t>
      </w:r>
      <w:r>
        <w:rPr>
          <w:color w:val="000000"/>
        </w:rPr>
        <w:t xml:space="preserve"> Discuss what a Topkey–Keystone partnership looks like in practice, including benefits to each party, Ben’s role, what changes and what stays the same, and shared goals. We will turn that discussion into a report to guide the conversation with Ben.</w:t>
      </w:r>
    </w:p>
    <w:p w14:paraId="4BF40BA0" w14:textId="77777777" w:rsidR="00796B66" w:rsidRDefault="00000000">
      <w:pPr>
        <w:pStyle w:val="ListParagraph"/>
        <w:numPr>
          <w:ilvl w:val="0"/>
          <w:numId w:val="3"/>
        </w:numPr>
        <w:spacing w:after="60"/>
      </w:pPr>
      <w:r>
        <w:rPr>
          <w:b/>
          <w:bCs/>
          <w:color w:val="000000"/>
        </w:rPr>
        <w:t>Call with Ben (this week).</w:t>
      </w:r>
      <w:r>
        <w:rPr>
          <w:color w:val="000000"/>
        </w:rPr>
        <w:t xml:space="preserve"> Spend the first half on client and employee trends and the second half on an initial partnership discussion, including confirming whether cash of up to ~$500K with the balance in Topkey equity is in line with his expectations.</w:t>
      </w:r>
    </w:p>
    <w:p w14:paraId="6C6EE685" w14:textId="77777777" w:rsidR="00796B66" w:rsidRDefault="00000000">
      <w:pPr>
        <w:pStyle w:val="ListParagraph"/>
        <w:numPr>
          <w:ilvl w:val="0"/>
          <w:numId w:val="3"/>
        </w:numPr>
        <w:spacing w:after="60"/>
      </w:pPr>
      <w:r>
        <w:rPr>
          <w:b/>
          <w:bCs/>
          <w:color w:val="000000"/>
        </w:rPr>
        <w:t>Technology sessions.</w:t>
      </w:r>
      <w:r>
        <w:rPr>
          <w:color w:val="000000"/>
        </w:rPr>
        <w:t xml:space="preserve"> Hold a demo of Ben’s development process, pipeline, and replacement tools for Xenett, Uncat, and Karbon, plus a session to show Ben what Topkey is building and gather his feedback.</w:t>
      </w:r>
    </w:p>
    <w:p w14:paraId="758E5DA5" w14:textId="77777777" w:rsidR="00796B66" w:rsidRDefault="00000000">
      <w:pPr>
        <w:pStyle w:val="ListParagraph"/>
        <w:numPr>
          <w:ilvl w:val="0"/>
          <w:numId w:val="3"/>
        </w:numPr>
        <w:spacing w:after="60"/>
      </w:pPr>
      <w:r>
        <w:rPr>
          <w:b/>
          <w:bCs/>
          <w:color w:val="000000"/>
        </w:rPr>
        <w:t>Follow-up discussion with Ben.</w:t>
      </w:r>
      <w:r>
        <w:rPr>
          <w:color w:val="000000"/>
        </w:rPr>
        <w:t xml:space="preserve"> Continue working through the opportunity, discuss short-, medium-, and long-term goals, and share the general offer structure.</w:t>
      </w:r>
    </w:p>
    <w:p w14:paraId="71AB8158" w14:textId="77777777" w:rsidR="00796B66" w:rsidRDefault="00000000">
      <w:pPr>
        <w:pStyle w:val="ListParagraph"/>
        <w:numPr>
          <w:ilvl w:val="0"/>
          <w:numId w:val="3"/>
        </w:numPr>
        <w:spacing w:after="60"/>
      </w:pPr>
      <w:r>
        <w:rPr>
          <w:b/>
          <w:bCs/>
          <w:color w:val="000000"/>
        </w:rPr>
        <w:t>Tax advisor review.</w:t>
      </w:r>
      <w:r>
        <w:rPr>
          <w:color w:val="000000"/>
        </w:rPr>
        <w:t xml:space="preserve"> Confirm the offer structure and terms around equity, holdbacks, and performance bonuses to align incentives while optimizing the structure.</w:t>
      </w:r>
    </w:p>
    <w:p w14:paraId="5B8DF74A" w14:textId="77777777" w:rsidR="00796B66" w:rsidRDefault="00000000">
      <w:pPr>
        <w:pStyle w:val="ListParagraph"/>
        <w:numPr>
          <w:ilvl w:val="0"/>
          <w:numId w:val="3"/>
        </w:numPr>
        <w:spacing w:after="60"/>
      </w:pPr>
      <w:r>
        <w:rPr>
          <w:b/>
          <w:bCs/>
          <w:color w:val="000000"/>
        </w:rPr>
        <w:lastRenderedPageBreak/>
        <w:t>Offer overview.</w:t>
      </w:r>
      <w:r>
        <w:rPr>
          <w:color w:val="000000"/>
        </w:rPr>
        <w:t xml:space="preserve"> Prepare a summary showing the cash portion based on Ben’s needs, any holdback amount with rationale, the remaining equity consideration, and Ben’s target compensation structure.</w:t>
      </w:r>
    </w:p>
    <w:sectPr w:rsidR="00796B66">
      <w:headerReference w:type="even" r:id="rId7"/>
      <w:headerReference w:type="default" r:id="rId8"/>
      <w:footerReference w:type="even" r:id="rId9"/>
      <w:footerReference w:type="default" r:id="rId10"/>
      <w:headerReference w:type="first" r:id="rId11"/>
      <w:footerReference w:type="first" r:id="rId12"/>
      <w:pgSz w:w="12240" w:h="15840"/>
      <w:pgMar w:top="1600" w:right="1440" w:bottom="1300" w:left="1440" w:header="29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3BA07" w14:textId="77777777" w:rsidR="00B91E4D" w:rsidRDefault="00B91E4D">
      <w:r>
        <w:separator/>
      </w:r>
    </w:p>
  </w:endnote>
  <w:endnote w:type="continuationSeparator" w:id="0">
    <w:p w14:paraId="04B66719" w14:textId="77777777" w:rsidR="00B91E4D" w:rsidRDefault="00B91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AC046" w14:textId="77777777" w:rsidR="00AB0A7F" w:rsidRDefault="00A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89027" w14:textId="77777777" w:rsidR="00796B66" w:rsidRDefault="00000000">
    <w:pPr>
      <w:pBdr>
        <w:top w:val="single" w:sz="8" w:space="6" w:color="999999"/>
      </w:pBdr>
      <w:jc w:val="center"/>
    </w:pPr>
    <w:r>
      <w:rPr>
        <w:rFonts w:ascii="Arial" w:eastAsia="Arial" w:hAnsi="Arial" w:cs="Arial"/>
        <w:sz w:val="20"/>
        <w:szCs w:val="20"/>
      </w:rPr>
      <w:fldChar w:fldCharType="begin"/>
    </w:r>
    <w:r>
      <w:rPr>
        <w:rFonts w:ascii="Arial" w:eastAsia="Arial" w:hAnsi="Arial" w:cs="Arial"/>
        <w:sz w:val="20"/>
        <w:szCs w:val="20"/>
      </w:rPr>
      <w:instrText>PAGE</w:instrText>
    </w:r>
    <w:r>
      <w:rPr>
        <w:rFonts w:ascii="Arial" w:eastAsia="Arial" w:hAnsi="Arial" w:cs="Arial"/>
        <w:sz w:val="20"/>
        <w:szCs w:val="20"/>
      </w:rPr>
      <w:fldChar w:fldCharType="separate"/>
    </w:r>
    <w:r w:rsidR="00AB0A7F">
      <w:rPr>
        <w:rFonts w:ascii="Arial" w:eastAsia="Arial" w:hAnsi="Arial" w:cs="Arial"/>
        <w:noProof/>
        <w:sz w:val="20"/>
        <w:szCs w:val="20"/>
      </w:rPr>
      <w:t>1</w:t>
    </w:r>
    <w:r>
      <w:rPr>
        <w:rFonts w:ascii="Arial" w:eastAsia="Arial" w:hAnsi="Arial" w:cs="Arial"/>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814DE" w14:textId="77777777" w:rsidR="00AB0A7F" w:rsidRDefault="00A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75571" w14:textId="77777777" w:rsidR="00B91E4D" w:rsidRDefault="00B91E4D">
      <w:r>
        <w:separator/>
      </w:r>
    </w:p>
  </w:footnote>
  <w:footnote w:type="continuationSeparator" w:id="0">
    <w:p w14:paraId="4EDB5939" w14:textId="77777777" w:rsidR="00B91E4D" w:rsidRDefault="00B91E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5D692" w14:textId="77777777" w:rsidR="00AB0A7F" w:rsidRDefault="00A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B48AC" w14:textId="77777777" w:rsidR="00796B66" w:rsidRDefault="00000000" w:rsidP="00AB0A7F">
    <w:pPr>
      <w:spacing w:before="140"/>
      <w:ind w:right="1757"/>
      <w:jc w:val="right"/>
    </w:pPr>
    <w:r>
      <w:rPr>
        <w:noProof/>
      </w:rPr>
      <w:drawing>
        <wp:anchor distT="0" distB="0" distL="0" distR="0" simplePos="0" relativeHeight="704850" behindDoc="1" locked="0" layoutInCell="1" allowOverlap="1" wp14:anchorId="4921723A" wp14:editId="2327FBBB">
          <wp:simplePos x="0" y="0"/>
          <wp:positionH relativeFrom="page">
            <wp:posOffset>0</wp:posOffset>
          </wp:positionH>
          <wp:positionV relativeFrom="page">
            <wp:posOffset>0</wp:posOffset>
          </wp:positionV>
          <wp:extent cx="7772400" cy="7048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772400" cy="704850"/>
                  </a:xfrm>
                  <a:prstGeom prst="rect">
                    <a:avLst/>
                  </a:prstGeom>
                </pic:spPr>
              </pic:pic>
            </a:graphicData>
          </a:graphic>
        </wp:anchor>
      </w:drawing>
    </w:r>
    <w:r>
      <w:rPr>
        <w:b/>
        <w:bCs/>
        <w:color w:val="FFFFFF"/>
        <w:sz w:val="30"/>
        <w:szCs w:val="30"/>
      </w:rPr>
      <w:t>Keystone Acquisition Opportunity - Diligence Findings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7847C" w14:textId="77777777" w:rsidR="00AB0A7F" w:rsidRDefault="00AB0A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51D6"/>
    <w:multiLevelType w:val="hybridMultilevel"/>
    <w:tmpl w:val="67BAA90A"/>
    <w:lvl w:ilvl="0" w:tplc="73E0C924">
      <w:start w:val="1"/>
      <w:numFmt w:val="decimal"/>
      <w:lvlText w:val="%1."/>
      <w:lvlJc w:val="left"/>
      <w:pPr>
        <w:ind w:left="720" w:hanging="360"/>
      </w:pPr>
      <w:rPr>
        <w:rFonts w:ascii="Times New Roman" w:eastAsia="Times New Roman" w:hAnsi="Times New Roman" w:cs="Times New Roman"/>
        <w:b/>
        <w:bCs/>
        <w:color w:val="7B0000"/>
      </w:rPr>
    </w:lvl>
    <w:lvl w:ilvl="1" w:tplc="FB348B62">
      <w:numFmt w:val="decimal"/>
      <w:lvlText w:val=""/>
      <w:lvlJc w:val="left"/>
    </w:lvl>
    <w:lvl w:ilvl="2" w:tplc="C37AD4F6">
      <w:numFmt w:val="decimal"/>
      <w:lvlText w:val=""/>
      <w:lvlJc w:val="left"/>
    </w:lvl>
    <w:lvl w:ilvl="3" w:tplc="9976E870">
      <w:numFmt w:val="decimal"/>
      <w:lvlText w:val=""/>
      <w:lvlJc w:val="left"/>
    </w:lvl>
    <w:lvl w:ilvl="4" w:tplc="96B4DCC4">
      <w:numFmt w:val="decimal"/>
      <w:lvlText w:val=""/>
      <w:lvlJc w:val="left"/>
    </w:lvl>
    <w:lvl w:ilvl="5" w:tplc="0EBC99AA">
      <w:numFmt w:val="decimal"/>
      <w:lvlText w:val=""/>
      <w:lvlJc w:val="left"/>
    </w:lvl>
    <w:lvl w:ilvl="6" w:tplc="81FC45DC">
      <w:numFmt w:val="decimal"/>
      <w:lvlText w:val=""/>
      <w:lvlJc w:val="left"/>
    </w:lvl>
    <w:lvl w:ilvl="7" w:tplc="8F789884">
      <w:numFmt w:val="decimal"/>
      <w:lvlText w:val=""/>
      <w:lvlJc w:val="left"/>
    </w:lvl>
    <w:lvl w:ilvl="8" w:tplc="9A7061DE">
      <w:numFmt w:val="decimal"/>
      <w:lvlText w:val=""/>
      <w:lvlJc w:val="left"/>
    </w:lvl>
  </w:abstractNum>
  <w:abstractNum w:abstractNumId="1" w15:restartNumberingAfterBreak="0">
    <w:nsid w:val="345B4E02"/>
    <w:multiLevelType w:val="hybridMultilevel"/>
    <w:tmpl w:val="BA84D9C8"/>
    <w:lvl w:ilvl="0" w:tplc="66309696">
      <w:start w:val="1"/>
      <w:numFmt w:val="bullet"/>
      <w:lvlText w:val="●"/>
      <w:lvlJc w:val="left"/>
      <w:pPr>
        <w:ind w:left="720" w:hanging="360"/>
      </w:pPr>
      <w:rPr>
        <w:rFonts w:ascii="Arial" w:eastAsia="Arial" w:hAnsi="Arial" w:cs="Arial"/>
        <w:sz w:val="16"/>
        <w:szCs w:val="16"/>
      </w:rPr>
    </w:lvl>
    <w:lvl w:ilvl="1" w:tplc="75E43262">
      <w:start w:val="1"/>
      <w:numFmt w:val="bullet"/>
      <w:lvlText w:val="○"/>
      <w:lvlJc w:val="left"/>
      <w:pPr>
        <w:ind w:left="1080" w:hanging="360"/>
      </w:pPr>
      <w:rPr>
        <w:rFonts w:ascii="Arial" w:eastAsia="Arial" w:hAnsi="Arial" w:cs="Arial"/>
        <w:sz w:val="18"/>
        <w:szCs w:val="18"/>
      </w:rPr>
    </w:lvl>
    <w:lvl w:ilvl="2" w:tplc="5C025620">
      <w:start w:val="1"/>
      <w:numFmt w:val="bullet"/>
      <w:lvlText w:val="■"/>
      <w:lvlJc w:val="left"/>
      <w:pPr>
        <w:ind w:left="1440" w:hanging="360"/>
      </w:pPr>
      <w:rPr>
        <w:rFonts w:ascii="Arial" w:eastAsia="Arial" w:hAnsi="Arial" w:cs="Arial"/>
        <w:sz w:val="18"/>
        <w:szCs w:val="18"/>
      </w:rPr>
    </w:lvl>
    <w:lvl w:ilvl="3" w:tplc="824C472E">
      <w:numFmt w:val="decimal"/>
      <w:lvlText w:val=""/>
      <w:lvlJc w:val="left"/>
    </w:lvl>
    <w:lvl w:ilvl="4" w:tplc="2D7A2732">
      <w:numFmt w:val="decimal"/>
      <w:lvlText w:val=""/>
      <w:lvlJc w:val="left"/>
    </w:lvl>
    <w:lvl w:ilvl="5" w:tplc="369675BE">
      <w:numFmt w:val="decimal"/>
      <w:lvlText w:val=""/>
      <w:lvlJc w:val="left"/>
    </w:lvl>
    <w:lvl w:ilvl="6" w:tplc="75BE701E">
      <w:numFmt w:val="decimal"/>
      <w:lvlText w:val=""/>
      <w:lvlJc w:val="left"/>
    </w:lvl>
    <w:lvl w:ilvl="7" w:tplc="C15C8880">
      <w:numFmt w:val="decimal"/>
      <w:lvlText w:val=""/>
      <w:lvlJc w:val="left"/>
    </w:lvl>
    <w:lvl w:ilvl="8" w:tplc="FA067CF2">
      <w:numFmt w:val="decimal"/>
      <w:lvlText w:val=""/>
      <w:lvlJc w:val="left"/>
    </w:lvl>
  </w:abstractNum>
  <w:abstractNum w:abstractNumId="2" w15:restartNumberingAfterBreak="0">
    <w:nsid w:val="644E5032"/>
    <w:multiLevelType w:val="hybridMultilevel"/>
    <w:tmpl w:val="B03699AA"/>
    <w:lvl w:ilvl="0" w:tplc="85A0AACE">
      <w:start w:val="1"/>
      <w:numFmt w:val="bullet"/>
      <w:lvlText w:val="●"/>
      <w:lvlJc w:val="left"/>
      <w:pPr>
        <w:ind w:left="720" w:hanging="360"/>
      </w:pPr>
    </w:lvl>
    <w:lvl w:ilvl="1" w:tplc="1E004D5E">
      <w:start w:val="1"/>
      <w:numFmt w:val="bullet"/>
      <w:lvlText w:val="○"/>
      <w:lvlJc w:val="left"/>
      <w:pPr>
        <w:ind w:left="1440" w:hanging="360"/>
      </w:pPr>
    </w:lvl>
    <w:lvl w:ilvl="2" w:tplc="603094AA">
      <w:start w:val="1"/>
      <w:numFmt w:val="bullet"/>
      <w:lvlText w:val="■"/>
      <w:lvlJc w:val="left"/>
      <w:pPr>
        <w:ind w:left="2160" w:hanging="360"/>
      </w:pPr>
    </w:lvl>
    <w:lvl w:ilvl="3" w:tplc="B8981B94">
      <w:start w:val="1"/>
      <w:numFmt w:val="bullet"/>
      <w:lvlText w:val="●"/>
      <w:lvlJc w:val="left"/>
      <w:pPr>
        <w:ind w:left="2880" w:hanging="360"/>
      </w:pPr>
    </w:lvl>
    <w:lvl w:ilvl="4" w:tplc="6A8621EE">
      <w:start w:val="1"/>
      <w:numFmt w:val="bullet"/>
      <w:lvlText w:val="○"/>
      <w:lvlJc w:val="left"/>
      <w:pPr>
        <w:ind w:left="3600" w:hanging="360"/>
      </w:pPr>
    </w:lvl>
    <w:lvl w:ilvl="5" w:tplc="009A7648">
      <w:start w:val="1"/>
      <w:numFmt w:val="bullet"/>
      <w:lvlText w:val="■"/>
      <w:lvlJc w:val="left"/>
      <w:pPr>
        <w:ind w:left="4320" w:hanging="360"/>
      </w:pPr>
    </w:lvl>
    <w:lvl w:ilvl="6" w:tplc="2D2E90BA">
      <w:start w:val="1"/>
      <w:numFmt w:val="bullet"/>
      <w:lvlText w:val="●"/>
      <w:lvlJc w:val="left"/>
      <w:pPr>
        <w:ind w:left="5040" w:hanging="360"/>
      </w:pPr>
    </w:lvl>
    <w:lvl w:ilvl="7" w:tplc="C6A0897C">
      <w:start w:val="1"/>
      <w:numFmt w:val="bullet"/>
      <w:lvlText w:val="●"/>
      <w:lvlJc w:val="left"/>
      <w:pPr>
        <w:ind w:left="5760" w:hanging="360"/>
      </w:pPr>
    </w:lvl>
    <w:lvl w:ilvl="8" w:tplc="BE08BCF2">
      <w:start w:val="1"/>
      <w:numFmt w:val="bullet"/>
      <w:lvlText w:val="●"/>
      <w:lvlJc w:val="left"/>
      <w:pPr>
        <w:ind w:left="6480" w:hanging="360"/>
      </w:pPr>
    </w:lvl>
  </w:abstractNum>
  <w:num w:numId="1" w16cid:durableId="905267280">
    <w:abstractNumId w:val="2"/>
    <w:lvlOverride w:ilvl="0">
      <w:startOverride w:val="1"/>
    </w:lvlOverride>
  </w:num>
  <w:num w:numId="2" w16cid:durableId="2015373516">
    <w:abstractNumId w:val="1"/>
    <w:lvlOverride w:ilvl="0">
      <w:startOverride w:val="1"/>
    </w:lvlOverride>
  </w:num>
  <w:num w:numId="3" w16cid:durableId="25145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B66"/>
    <w:rsid w:val="003F0E9E"/>
    <w:rsid w:val="00796B66"/>
    <w:rsid w:val="00AB0A7F"/>
    <w:rsid w:val="00B91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98E80"/>
  <w15:docId w15:val="{6B18604F-7521-468F-8E4F-4C213280E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B0A7F"/>
    <w:pPr>
      <w:tabs>
        <w:tab w:val="center" w:pos="4680"/>
        <w:tab w:val="right" w:pos="9360"/>
      </w:tabs>
    </w:pPr>
  </w:style>
  <w:style w:type="character" w:customStyle="1" w:styleId="HeaderChar">
    <w:name w:val="Header Char"/>
    <w:basedOn w:val="DefaultParagraphFont"/>
    <w:link w:val="Header"/>
    <w:uiPriority w:val="99"/>
    <w:rsid w:val="00AB0A7F"/>
  </w:style>
  <w:style w:type="paragraph" w:styleId="Footer">
    <w:name w:val="footer"/>
    <w:basedOn w:val="Normal"/>
    <w:link w:val="FooterChar"/>
    <w:uiPriority w:val="99"/>
    <w:unhideWhenUsed/>
    <w:rsid w:val="00AB0A7F"/>
    <w:pPr>
      <w:tabs>
        <w:tab w:val="center" w:pos="4680"/>
        <w:tab w:val="right" w:pos="9360"/>
      </w:tabs>
    </w:pPr>
  </w:style>
  <w:style w:type="character" w:customStyle="1" w:styleId="FooterChar">
    <w:name w:val="Footer Char"/>
    <w:basedOn w:val="DefaultParagraphFont"/>
    <w:link w:val="Footer"/>
    <w:uiPriority w:val="99"/>
    <w:rsid w:val="00AB0A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3755</Words>
  <Characters>21410</Characters>
  <Application>Microsoft Office Word</Application>
  <DocSecurity>0</DocSecurity>
  <Lines>178</Lines>
  <Paragraphs>50</Paragraphs>
  <ScaleCrop>false</ScaleCrop>
  <Company/>
  <LinksUpToDate>false</LinksUpToDate>
  <CharactersWithSpaces>25115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Keystone Acquisition Opportunity - Diligence Findings (v3)</dc:title>
  <dc:creator>AMB Advisory Services</dc:creator>
  <cp:lastModifiedBy>Frank Moneymaker</cp:lastModifiedBy>
  <cp:revision>2</cp:revision>
  <dcterms:created xsi:type="dcterms:W3CDTF">2026-09-15T19:42:00Z</dcterms:created>
  <dcterms:modified xsi:type="dcterms:W3CDTF">2026-09-15T19:51:00Z</dcterms:modified>
</cp:coreProperties>
</file>