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the forward triangular merger sequence, broken into the legal track and the securities track. They run in parallel and have different critical paths, so it helps to treat them separately.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g7vxul1vuuu" w:id="0"/>
      <w:bookmarkEnd w:id="0"/>
      <w:r w:rsidDel="00000000" w:rsidR="00000000" w:rsidRPr="00000000">
        <w:rPr>
          <w:b w:val="1"/>
          <w:bCs w:val="1"/>
          <w:color w:val="000000"/>
          <w:sz w:val="26"/>
          <w:szCs w:val="26"/>
          <w:rtl w:val="0"/>
        </w:rPr>
        <w:t xml:space="preserve">Phase 1 — Structuring confirmations before drafting</w:t>
      </w:r>
    </w:p>
    <w:p w:rsidR="00000000" w:rsidDel="00000000" w:rsidP="00000000" w:rsidRDefault="00000000" w:rsidRPr="00000000" w14:paraId="00000003">
      <w:pPr>
        <w:spacing w:after="240" w:before="240" w:lineRule="auto"/>
        <w:rPr/>
      </w:pPr>
      <w:r w:rsidDel="00000000" w:rsidR="00000000" w:rsidRPr="00000000">
        <w:rPr>
          <w:rtl w:val="0"/>
        </w:rPr>
        <w:t xml:space="preserve">Before anyone drafts a merger agreement, a handful of threshold items determine whether the structure works at all:</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Topkey's authorized share capacity.</w:t>
      </w:r>
      <w:r w:rsidDel="00000000" w:rsidR="00000000" w:rsidRPr="00000000">
        <w:rPr>
          <w:rtl w:val="0"/>
        </w:rPr>
        <w:t xml:space="preserve"> Check the certificate of incorporation for enough authorized but unissued common stock to cover the issuance. If not, you need a charter amendment, which means board plus stockholder approval, and possibly a separate class vote.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Preferred stockholder protective provisions.</w:t>
      </w:r>
      <w:r w:rsidDel="00000000" w:rsidR="00000000" w:rsidRPr="00000000">
        <w:rPr>
          <w:rtl w:val="0"/>
        </w:rPr>
        <w:t xml:space="preserve"> If Topkey is venture-backed at a $50M valuation, its charter almost certainly contains protective provisions requiring preferred holder consent for issuing new stock, acquisitions, or charter amendments. Identify which consents you need and who controls them. This is frequently the longest-lead item in the whole deal.</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Preemptive rights and rights of first offer.</w:t>
      </w:r>
      <w:r w:rsidDel="00000000" w:rsidR="00000000" w:rsidRPr="00000000">
        <w:rPr>
          <w:rtl w:val="0"/>
        </w:rPr>
        <w:t xml:space="preserve"> Topkey's investor rights agreement may give existing holders the right to participate in new issuances. You'll need waivers.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"Substantially all" test.</w:t>
      </w:r>
      <w:r w:rsidDel="00000000" w:rsidR="00000000" w:rsidRPr="00000000">
        <w:rPr>
          <w:rtl w:val="0"/>
        </w:rPr>
        <w:t xml:space="preserve"> A forward triangular merger under §368(a)(2)(D) requires Merger Sub to acquire substantially all of the target's properties. The IRS ruling guideline is 90% of net assets and 70% of gross assets. Pre-closing distributions to the seller — a cash sweep, a final S-corp distribution of accumulated adjustments account — can break this. Model it before you agree to any pre-closing distribution.</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Continuity of interest.</w:t>
      </w:r>
      <w:r w:rsidDel="00000000" w:rsidR="00000000" w:rsidRPr="00000000">
        <w:rPr>
          <w:rtl w:val="0"/>
        </w:rPr>
        <w:t xml:space="preserve"> Generally 40%+ of consideration in Topkey stock. At roughly 83% stock you're comfortable, but confirm how any working capital adjustment or escrow release is characterized.</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Appraisal/dissenters' rights.</w:t>
      </w:r>
      <w:r w:rsidDel="00000000" w:rsidR="00000000" w:rsidRPr="00000000">
        <w:rPr>
          <w:rtl w:val="0"/>
        </w:rPr>
        <w:t xml:space="preserve"> Determine whether target shareholders have them under the governing state statute and whether you can obtain waivers or need to run the statutory notice process.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HSR.</w:t>
      </w:r>
      <w:r w:rsidDel="00000000" w:rsidR="00000000" w:rsidRPr="00000000">
        <w:rPr>
          <w:rtl w:val="0"/>
        </w:rPr>
        <w:t xml:space="preserve"> At $3M you're far below the threshold. Confirm and move 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tuv1njl55hh" w:id="1"/>
      <w:bookmarkEnd w:id="1"/>
      <w:r w:rsidDel="00000000" w:rsidR="00000000" w:rsidRPr="00000000">
        <w:rPr>
          <w:b w:val="1"/>
          <w:bCs w:val="1"/>
          <w:color w:val="000000"/>
          <w:sz w:val="26"/>
          <w:szCs w:val="26"/>
          <w:rtl w:val="0"/>
        </w:rPr>
        <w:t xml:space="preserve">Phase 2 — Entity formation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Form Merger Sub.</w:t>
      </w:r>
      <w:r w:rsidDel="00000000" w:rsidR="00000000" w:rsidRPr="00000000">
        <w:rPr>
          <w:rtl w:val="0"/>
        </w:rPr>
        <w:t xml:space="preserve"> Topkey forms a new, wholly owned corporation solely to effect the merger. Typically Delaware, capitalized nominally.</w:t>
      </w:r>
    </w:p>
    <w:p w:rsidR="00000000" w:rsidDel="00000000" w:rsidP="00000000" w:rsidRDefault="00000000" w:rsidRPr="00000000" w14:paraId="0000000D">
      <w:pPr>
        <w:spacing w:after="240" w:before="240" w:lineRule="auto"/>
        <w:rPr/>
      </w:pPr>
      <w:r w:rsidDel="00000000" w:rsidR="00000000" w:rsidRPr="00000000">
        <w:rPr>
          <w:rtl w:val="0"/>
        </w:rPr>
        <w:t xml:space="preserve">Documents: certificate of incorporation, bylaws, initial board consent, stock issuance to Topkey, EIN application (often needed for state filings even though Merger Sub is transitory), and a qualification to do business in the target's operating state if required.</w:t>
      </w:r>
    </w:p>
    <w:p w:rsidR="00000000" w:rsidDel="00000000" w:rsidP="00000000" w:rsidRDefault="00000000" w:rsidRPr="00000000" w14:paraId="0000000E">
      <w:pPr>
        <w:spacing w:after="240" w:before="240" w:lineRule="auto"/>
        <w:rPr/>
      </w:pPr>
      <w:r w:rsidDel="00000000" w:rsidR="00000000" w:rsidRPr="00000000">
        <w:rPr>
          <w:rtl w:val="0"/>
        </w:rPr>
        <w:t xml:space="preserve">One structural note: in a forward triangular merger the target merges </w:t>
      </w:r>
      <w:r w:rsidDel="00000000" w:rsidR="00000000" w:rsidRPr="00000000">
        <w:rPr>
          <w:i w:val="1"/>
          <w:iCs w:val="1"/>
          <w:rtl w:val="0"/>
        </w:rPr>
        <w:t xml:space="preserve">into</w:t>
      </w:r>
      <w:r w:rsidDel="00000000" w:rsidR="00000000" w:rsidRPr="00000000">
        <w:rPr>
          <w:rtl w:val="0"/>
        </w:rPr>
        <w:t xml:space="preserve"> Merger Sub and Merger Sub survives. Merger Sub must be a corporation for §368(a)(2)(D) purposes — an LLC merger sub works for other structures but not this one.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hvujidhng9r" w:id="2"/>
      <w:bookmarkEnd w:id="2"/>
      <w:r w:rsidDel="00000000" w:rsidR="00000000" w:rsidRPr="00000000">
        <w:rPr>
          <w:b w:val="1"/>
          <w:bCs w:val="1"/>
          <w:color w:val="000000"/>
          <w:sz w:val="26"/>
          <w:szCs w:val="26"/>
          <w:rtl w:val="0"/>
        </w:rPr>
        <w:t xml:space="preserve">Phase 3 — The merger agreement and ancillaries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Agreement and Plan of Merger.</w:t>
      </w:r>
      <w:r w:rsidDel="00000000" w:rsidR="00000000" w:rsidRPr="00000000">
        <w:rPr>
          <w:rtl w:val="0"/>
        </w:rPr>
        <w:t xml:space="preserve"> The core document. Key sections to pay attention to for your facts:</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i w:val="1"/>
          <w:iCs w:val="1"/>
          <w:rtl w:val="0"/>
        </w:rPr>
        <w:t xml:space="preserve">Merger mechanics</w:t>
      </w:r>
      <w:r w:rsidDel="00000000" w:rsidR="00000000" w:rsidRPr="00000000">
        <w:rPr>
          <w:rtl w:val="0"/>
        </w:rPr>
        <w:t xml:space="preserve"> — target merges into Merger Sub, Merger Sub survives, target's separate existence ceases.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i w:val="1"/>
          <w:iCs w:val="1"/>
          <w:rtl w:val="0"/>
        </w:rPr>
        <w:t xml:space="preserve">Effective Time</w:t>
      </w:r>
      <w:r w:rsidDel="00000000" w:rsidR="00000000" w:rsidRPr="00000000">
        <w:rPr>
          <w:rtl w:val="0"/>
        </w:rPr>
        <w:t xml:space="preserve"> — this is where the Dec 18 signing / Jan 1 effectiveness structure lives. The certificate of merger itself can specify a delayed effective time, which is the cleanest mechanism. Coordinate the escrow release conditions to the same moment.</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i w:val="1"/>
          <w:iCs w:val="1"/>
          <w:rtl w:val="0"/>
        </w:rPr>
        <w:t xml:space="preserve">Conversion of shares</w:t>
      </w:r>
      <w:r w:rsidDel="00000000" w:rsidR="00000000" w:rsidRPr="00000000">
        <w:rPr>
          <w:rtl w:val="0"/>
        </w:rPr>
        <w:t xml:space="preserve"> — each share of target stock converts into the right to receive the cash and Topkey stock consideration; Merger Sub's shares convert into shares of the surviving corporation.</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i w:val="1"/>
          <w:iCs w:val="1"/>
          <w:rtl w:val="0"/>
        </w:rPr>
        <w:t xml:space="preserve">Consideration allocation</w:t>
      </w:r>
      <w:r w:rsidDel="00000000" w:rsidR="00000000" w:rsidRPr="00000000">
        <w:rPr>
          <w:rtl w:val="0"/>
        </w:rPr>
        <w:t xml:space="preserve"> — cash versus stock, and whether each shareholder takes a pro rata mix or whether some take all cash (relevant to continuity of interest if there are multiple holders).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i w:val="1"/>
          <w:iCs w:val="1"/>
          <w:rtl w:val="0"/>
        </w:rPr>
        <w:t xml:space="preserve">Tax treatment covenant</w:t>
      </w:r>
      <w:r w:rsidDel="00000000" w:rsidR="00000000" w:rsidRPr="00000000">
        <w:rPr>
          <w:rtl w:val="0"/>
        </w:rPr>
        <w:t xml:space="preserve"> — the parties intend §368(a)(1)(A)/(a)(2)(D) treatment, will report consistently, and won't take positions inconsistent with it. Include a covenant against post-closing actions that would disqualify the reorganization.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i w:val="1"/>
          <w:iCs w:val="1"/>
          <w:rtl w:val="0"/>
        </w:rPr>
        <w:t xml:space="preserve">Representations and warranties</w:t>
      </w:r>
      <w:r w:rsidDel="00000000" w:rsidR="00000000" w:rsidRPr="00000000">
        <w:rPr>
          <w:rtl w:val="0"/>
        </w:rPr>
        <w:t xml:space="preserve"> — standard target reps, plus specific S-corp reps (valid election, no termination events, no built-in gains exposure) even though the reorg context makes these less catastrophic than in a 338(h)(10) deal.</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i w:val="1"/>
          <w:iCs w:val="1"/>
          <w:rtl w:val="0"/>
        </w:rPr>
        <w:t xml:space="preserve">Working capital adjustment</w:t>
      </w:r>
      <w:r w:rsidDel="00000000" w:rsidR="00000000" w:rsidRPr="00000000">
        <w:rPr>
          <w:rtl w:val="0"/>
        </w:rPr>
        <w:t xml:space="preserve"> — be careful here. A post-closing cash true-up flowing to the seller can be treated as additional boot. Structure it as an adjustment to the stock component, or cap total cash consideration, or handle it through an escrow that adjusts share counts.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i w:val="1"/>
          <w:iCs w:val="1"/>
          <w:rtl w:val="0"/>
        </w:rPr>
        <w:t xml:space="preserve">Indemnification and escrow</w:t>
      </w:r>
      <w:r w:rsidDel="00000000" w:rsidR="00000000" w:rsidRPr="00000000">
        <w:rPr>
          <w:rtl w:val="0"/>
        </w:rPr>
        <w:t xml:space="preserve"> — survival periods, caps, baskets, and whether the escrow is funded in cash or shares. Share-funded escrows raise their own valuation questions.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Disclosure schedules.</w:t>
      </w:r>
      <w:r w:rsidDel="00000000" w:rsidR="00000000" w:rsidRPr="00000000">
        <w:rPr>
          <w:rtl w:val="0"/>
        </w:rPr>
        <w:t xml:space="preserve"> Target-side, keyed to the reps. For an 80-person services business this is a significant lift — customer contracts, employment agreements, benefit plans, IP, litigation, licenses.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Ancillary documents: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Certificate of merger (state filing — see Phase 5)</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Escrow agreement</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Employment or consulting agreement for the seller, plus restrictive covenants (non-compete, non-solicit)</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Letter of transmittal, if there are multiple shareholders surrendering certificates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FIRPTA certificate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Payoff letters and lien releases for any target debt</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Resignations of target directors and officers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Third-party consents (see below)</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§368 reporting statements under Treas. Reg. §1.368-3 for both parties' returns</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Tax opinion, if either side wants one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26uokgs9mcxl" w:id="3"/>
      <w:bookmarkEnd w:id="3"/>
      <w:r w:rsidDel="00000000" w:rsidR="00000000" w:rsidRPr="00000000">
        <w:rPr>
          <w:b w:val="1"/>
          <w:bCs w:val="1"/>
          <w:color w:val="000000"/>
          <w:sz w:val="26"/>
          <w:szCs w:val="26"/>
          <w:rtl w:val="0"/>
        </w:rPr>
        <w:t xml:space="preserve">Phase 4 — Corporate approvals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Target side.</w:t>
      </w:r>
      <w:r w:rsidDel="00000000" w:rsidR="00000000" w:rsidRPr="00000000">
        <w:rPr>
          <w:rtl w:val="0"/>
        </w:rPr>
        <w:t xml:space="preserve"> Board resolution approving the merger and recommending it to shareholders; shareholder approval by written consent or meeting per the governing statute and the target's bylaws. If there are multiple shareholders, check any shareholders' agreement for drag-along provisions and voting requirements.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Topkey side.</w:t>
      </w:r>
      <w:r w:rsidDel="00000000" w:rsidR="00000000" w:rsidRPr="00000000">
        <w:rPr>
          <w:rtl w:val="0"/>
        </w:rPr>
        <w:t xml:space="preserve"> Board approval of the merger, the share issuance, and Merger Sub's action; stockholder approval if required by the charter or by the preferred protective provisions; preferred holder consents; waivers of preemptive rights. If a charter amendment is needed to authorize more shares, that runs on its own timeline.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Merger Sub.</w:t>
      </w:r>
      <w:r w:rsidDel="00000000" w:rsidR="00000000" w:rsidRPr="00000000">
        <w:rPr>
          <w:rtl w:val="0"/>
        </w:rPr>
        <w:t xml:space="preserve"> Board consent approving the merger, plus Topkey's consent as sole stockholder.</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e8qcnw9e5vxh" w:id="4"/>
      <w:bookmarkEnd w:id="4"/>
      <w:r w:rsidDel="00000000" w:rsidR="00000000" w:rsidRPr="00000000">
        <w:rPr>
          <w:b w:val="1"/>
          <w:bCs w:val="1"/>
          <w:color w:val="000000"/>
          <w:sz w:val="26"/>
          <w:szCs w:val="26"/>
          <w:rtl w:val="0"/>
        </w:rPr>
        <w:t xml:space="preserve">Phase 5 — Third-party consents</w:t>
      </w:r>
    </w:p>
    <w:p w:rsidR="00000000" w:rsidDel="00000000" w:rsidP="00000000" w:rsidRDefault="00000000" w:rsidRPr="00000000" w14:paraId="0000002A">
      <w:pPr>
        <w:spacing w:after="240" w:before="240" w:lineRule="auto"/>
        <w:rPr/>
      </w:pPr>
      <w:r w:rsidDel="00000000" w:rsidR="00000000" w:rsidRPr="00000000">
        <w:rPr>
          <w:rtl w:val="0"/>
        </w:rPr>
        <w:t xml:space="preserve">This is where the forward merger structure costs you. Because the target ceases to exist and its assets transfer by operation of law, most anti-assignment clauses are triggered. Delaware case law treats a forward merger as an assignment for these purposes in a way it generally does not treat a reverse triangular merger — the distinction matters practically, not just theoretically.</w:t>
      </w:r>
    </w:p>
    <w:p w:rsidR="00000000" w:rsidDel="00000000" w:rsidP="00000000" w:rsidRDefault="00000000" w:rsidRPr="00000000" w14:paraId="0000002B">
      <w:pPr>
        <w:spacing w:after="240" w:before="240" w:lineRule="auto"/>
        <w:rPr/>
      </w:pPr>
      <w:r w:rsidDel="00000000" w:rsidR="00000000" w:rsidRPr="00000000">
        <w:rPr>
          <w:rtl w:val="0"/>
        </w:rPr>
        <w:t xml:space="preserve">For a bookkeeping services business the exposure is concentrated in:</w:t>
      </w:r>
    </w:p>
    <w:p w:rsidR="00000000" w:rsidDel="00000000" w:rsidP="00000000" w:rsidRDefault="00000000" w:rsidRPr="00000000" w14:paraId="0000002C">
      <w:pPr>
        <w:numPr>
          <w:ilvl w:val="0"/>
          <w:numId w:val="4"/>
        </w:numPr>
        <w:spacing w:after="0" w:afterAutospacing="0" w:before="240" w:lineRule="auto"/>
        <w:ind w:left="720" w:hanging="360"/>
      </w:pPr>
      <w:r w:rsidDel="00000000" w:rsidR="00000000" w:rsidRPr="00000000">
        <w:rPr>
          <w:rtl w:val="0"/>
        </w:rPr>
        <w:t xml:space="preserve">Client service agreements with assignment or change-of-control clauses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Software and data licenses (accounting platforms, payroll systems, client portals) — often the most restrictive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Office leases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Employment agreements with assignment provisions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Professional liability insurance</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Any state registrations or professional licensing tied to the entity</w:t>
      </w:r>
    </w:p>
    <w:p w:rsidR="00000000" w:rsidDel="00000000" w:rsidP="00000000" w:rsidRDefault="00000000" w:rsidRPr="00000000" w14:paraId="00000032">
      <w:pPr>
        <w:spacing w:after="240" w:before="240" w:lineRule="auto"/>
        <w:rPr/>
      </w:pPr>
      <w:r w:rsidDel="00000000" w:rsidR="00000000" w:rsidRPr="00000000">
        <w:rPr>
          <w:rtl w:val="0"/>
        </w:rPr>
        <w:t xml:space="preserve">Build a consent matrix early: which contracts require consent, which require notice only, which are silent, and what each counterparty's leverage looks like. Start outreach well before closing — client consents in a services business can take weeks and carry real attrition risk if handled clumsily.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f3qjnlm5dol" w:id="5"/>
      <w:bookmarkEnd w:id="5"/>
      <w:r w:rsidDel="00000000" w:rsidR="00000000" w:rsidRPr="00000000">
        <w:rPr>
          <w:b w:val="1"/>
          <w:bCs w:val="1"/>
          <w:color w:val="000000"/>
          <w:sz w:val="26"/>
          <w:szCs w:val="26"/>
          <w:rtl w:val="0"/>
        </w:rPr>
        <w:t xml:space="preserve">Phase 6 — The securities track</w:t>
      </w:r>
    </w:p>
    <w:p w:rsidR="00000000" w:rsidDel="00000000" w:rsidP="00000000" w:rsidRDefault="00000000" w:rsidRPr="00000000" w14:paraId="00000034">
      <w:pPr>
        <w:spacing w:after="240" w:before="240" w:lineRule="auto"/>
        <w:rPr/>
      </w:pPr>
      <w:r w:rsidDel="00000000" w:rsidR="00000000" w:rsidRPr="00000000">
        <w:rPr>
          <w:rtl w:val="0"/>
        </w:rPr>
        <w:t xml:space="preserve">The Topkey shares issued to the seller are securities being sold. You need an exemption from registration.</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Exemption selection.</w:t>
      </w:r>
      <w:r w:rsidDel="00000000" w:rsidR="00000000" w:rsidRPr="00000000">
        <w:rPr>
          <w:rtl w:val="0"/>
        </w:rPr>
        <w:t xml:space="preserve"> Rule 506(b) of Regulation D is the standard path: no general solicitation, unlimited accredited investors, and up to 35 non-accredited investors — but including even one non-accredited investor triggers Rule 502(b)'s extensive disclosure requirements (audited financials, essentially a private placement memorandum). If all target shareholders are accredited, this is straightforward. If any are not, the cost and timeline jump significantly, and it's often worth restructuring so non-accredited holders take all cash.</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Securities documents: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Accredited investor questionnaire for each shareholder receiving stock</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Investment representation letter (investment intent, no view to distribution, understanding of restrictions)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Subscription agreement or stock issuance mechanics built into the merger agreement</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Risk factor disclosure — advisable even for accredited investors as an anti-fraud matter, since Rule 10b-5 applies regardless of exemption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Stock certificates or book-entry with restrictive legends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Joinder to Topkey's stockholders' agreement, voting agreement, and right of first refusal/co-sale agreement</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Form D — filed with the SEC within 15 days of first sale</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State blue sky notice filings in each state where a purchaser resides, generally within 15 days, with filing fees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Restricted securities.</w:t>
      </w:r>
      <w:r w:rsidDel="00000000" w:rsidR="00000000" w:rsidRPr="00000000">
        <w:rPr>
          <w:rtl w:val="0"/>
        </w:rPr>
        <w:t xml:space="preserve"> The shares are restricted under Rule 144. For a non-reporting company, the holding period before resale is one year, and even then resale depends on Topkey having adequate current public information — which as a private company it won't. Practically, the seller's shares are illiquid until a liquidity event. Make sure the seller understands this; it's a common source of post-closing friction.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Compensation versus consideration.</w:t>
      </w:r>
      <w:r w:rsidDel="00000000" w:rsidR="00000000" w:rsidRPr="00000000">
        <w:rPr>
          <w:rtl w:val="0"/>
        </w:rPr>
        <w:t xml:space="preserve"> If the seller becomes a Topkey employee, carefully separate the merger consideration from any equity granted as compensation. Shares received in the merger should be clearly consideration for the target stock. Any shares subject to vesting or forfeiture on termination risk being recharacterized as compensation, which is ordinary income rather than capital gain and can also jeopardize the reorganization analysis. If any portion is subject to vesting, evaluate a §83(b) election within 30 days.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Valuation.</w:t>
      </w:r>
      <w:r w:rsidDel="00000000" w:rsidR="00000000" w:rsidRPr="00000000">
        <w:rPr>
          <w:rtl w:val="0"/>
        </w:rPr>
        <w:t xml:space="preserve"> The $50M figure needs support. If Topkey has a recent 409A valuation or priced round, use it. The share count issued to the seller depends on it, and a stale or unsupported valuation invites disputes and potential tax challenge.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What the seller actually receives.</w:t>
      </w:r>
      <w:r w:rsidDel="00000000" w:rsidR="00000000" w:rsidRPr="00000000">
        <w:rPr>
          <w:rtl w:val="0"/>
        </w:rPr>
        <w:t xml:space="preserve"> Confirm whether the seller gets common stock sitting beneath a preference stack. At a $50M headline valuation with meaningful preferred outstanding, $2.5M of common can be worth considerably less in a downside exit. Also confirm the shares aren't structured as nonqualified preferred stock under §351(g), which is treated as boot even inside an otherwise clean reorganization.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pththc97oibh" w:id="6"/>
      <w:bookmarkEnd w:id="6"/>
      <w:r w:rsidDel="00000000" w:rsidR="00000000" w:rsidRPr="00000000">
        <w:rPr>
          <w:b w:val="1"/>
          <w:bCs w:val="1"/>
          <w:color w:val="000000"/>
          <w:sz w:val="26"/>
          <w:szCs w:val="26"/>
          <w:rtl w:val="0"/>
        </w:rPr>
        <w:t xml:space="preserve">Phase 7 — Signing and closing</w:t>
      </w:r>
    </w:p>
    <w:p w:rsidR="00000000" w:rsidDel="00000000" w:rsidP="00000000" w:rsidRDefault="00000000" w:rsidRPr="00000000" w14:paraId="00000044">
      <w:pPr>
        <w:spacing w:after="240" w:before="240" w:lineRule="auto"/>
        <w:rPr/>
      </w:pPr>
      <w:r w:rsidDel="00000000" w:rsidR="00000000" w:rsidRPr="00000000">
        <w:rPr>
          <w:rtl w:val="0"/>
        </w:rPr>
        <w:t xml:space="preserve">Given the Dec 18 / Jan 1 structure: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At signing (Dec 18):</w:t>
      </w:r>
      <w:r w:rsidDel="00000000" w:rsidR="00000000" w:rsidRPr="00000000">
        <w:rPr>
          <w:rtl w:val="0"/>
        </w:rPr>
        <w:t xml:space="preserve"> all documents executed and delivered into escrow; cash consideration wired to escrow; stock certificates or issuance instructions delivered to escrow; certificate of merger executed and delivered to the filing agent with instructions specifying the delayed effective time; all consents and approvals obtained or waived; closing conditions satisfied.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Between signing and effectiveness:</w:t>
      </w:r>
      <w:r w:rsidDel="00000000" w:rsidR="00000000" w:rsidRPr="00000000">
        <w:rPr>
          <w:rtl w:val="0"/>
        </w:rPr>
        <w:t xml:space="preserve"> interim operating covenants govern — the seller runs the business in the ordinary course, no extraordinary distributions, no new material contracts, no changes to compensation.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At the Effective Time (Jan 1):</w:t>
      </w:r>
      <w:r w:rsidDel="00000000" w:rsidR="00000000" w:rsidRPr="00000000">
        <w:rPr>
          <w:rtl w:val="0"/>
        </w:rPr>
        <w:t xml:space="preserve"> certificate of merger becomes effective per its stated terms; escrow releases; ownership transfers.</w:t>
      </w:r>
    </w:p>
    <w:p w:rsidR="00000000" w:rsidDel="00000000" w:rsidP="00000000" w:rsidRDefault="00000000" w:rsidRPr="00000000" w14:paraId="00000048">
      <w:pPr>
        <w:spacing w:after="240" w:before="240" w:lineRule="auto"/>
        <w:rPr/>
      </w:pPr>
      <w:r w:rsidDel="00000000" w:rsidR="00000000" w:rsidRPr="00000000">
        <w:rPr>
          <w:rtl w:val="0"/>
        </w:rPr>
        <w:t xml:space="preserve">Practical note: the certificate of merger must be </w:t>
      </w:r>
      <w:r w:rsidDel="00000000" w:rsidR="00000000" w:rsidRPr="00000000">
        <w:rPr>
          <w:i w:val="1"/>
          <w:iCs w:val="1"/>
          <w:rtl w:val="0"/>
        </w:rPr>
        <w:t xml:space="preserve">filed</w:t>
      </w:r>
      <w:r w:rsidDel="00000000" w:rsidR="00000000" w:rsidRPr="00000000">
        <w:rPr>
          <w:rtl w:val="0"/>
        </w:rPr>
        <w:t xml:space="preserve"> with the secretary of state before the delayed effective time, with the effective time specified in the document. Most states cap how far out a delayed effective time can be set — commonly 90 days — and offices close for the holidays, so file with buffer. Confirm the state's specific rule and the office's December filing calendar early. Also confirm the escrow agent's wire mechanics, since January 1, 2027 is a Friday federal holiday and banks won't settle wires that day.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dsubyt36vvqq" w:id="7"/>
      <w:bookmarkEnd w:id="7"/>
      <w:r w:rsidDel="00000000" w:rsidR="00000000" w:rsidRPr="00000000">
        <w:rPr>
          <w:b w:val="1"/>
          <w:bCs w:val="1"/>
          <w:color w:val="000000"/>
          <w:sz w:val="26"/>
          <w:szCs w:val="26"/>
          <w:rtl w:val="0"/>
        </w:rPr>
        <w:t xml:space="preserve">Phase 8 — Post-closing</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rtl w:val="0"/>
        </w:rPr>
        <w:t xml:space="preserve">File the certificate of merger acknowledgment and obtain the stamped copy</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Form D filing within 15 days of first sale</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Blue sky notice filings</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Update Topkey's stock ledger and cap table</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Final target tax returns (short-year return through the effective date)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§368 reporting statements with both parties' returns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Payroll system transition and successor employer elections (Form W-2 reporting under Rev. Proc. 2004-53)</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Benefit plan terminations or mergers, with the associated participant notices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EIN and state registration wind-down for the target</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Client notification and re-papering where consent wasn't required but notice is prudent</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Insurance: tail coverage on the target's professional liability policy</w:t>
      </w:r>
    </w:p>
    <w:p w:rsidR="00000000" w:rsidDel="00000000" w:rsidP="00000000" w:rsidRDefault="00000000" w:rsidRPr="00000000" w14:paraId="00000055">
      <w:pPr>
        <w:spacing w:after="240" w:before="240" w:lineRule="auto"/>
        <w:rPr/>
      </w:pPr>
      <w:r w:rsidDel="00000000" w:rsidR="00000000" w:rsidRPr="00000000">
        <w:rPr>
          <w:rtl w:val="0"/>
        </w:rPr>
        <w:t xml:space="preserve">A closing checklist maintained jointly by both counsel, with owner and status for each item, is worth building from the start — a deal with this many moving parts fails on tracking more often than on substance.</w:t>
      </w:r>
    </w:p>
    <w:p w:rsidR="00000000" w:rsidDel="00000000" w:rsidP="00000000" w:rsidRDefault="00000000" w:rsidRPr="00000000" w14:paraId="00000056">
      <w:pPr>
        <w:spacing w:after="240" w:before="240" w:lineRule="auto"/>
        <w:rPr/>
      </w:pPr>
      <w:r w:rsidDel="00000000" w:rsidR="00000000" w:rsidRPr="00000000">
        <w:rPr>
          <w:rtl w:val="0"/>
        </w:rPr>
        <w:t xml:space="preserve">One flag on the overall approach: the forward merger buys you boot cushion but costs you consent burden, and in a client-services business with recurring relationships, the consent burden is the real risk — both in timeline and in client attrition if the outreach goes badly. It's worth pressure-testing with counsel whether the reverse triangular merger's 20% boot limit is genuinely too tight for your $500K/$3M split, because if you can hold the cash portion firm and cap any adjustments, the RTM's contract continuity may be worth more than the cushion.</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