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Keystone Deal – The Bottom Line on Fundraising Impact and Company Burden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Partnership 70/30 vs. 100% for Topkey equity vs. 100% all-cash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Prepared by AMB Advisory Services LLC for Jon Sukhia / Topkey | September 24, 2026 | Confidential – internal to Topkey and its advisors; not for Ben or Keystone.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lineRule="auto"/>
        <w:rPr>
          <w:color w:val="444444"/>
          <w:sz w:val="18"/>
          <w:szCs w:val="18"/>
        </w:rPr>
      </w:pPr>
      <w:r w:rsidDel="00000000" w:rsidR="00000000" w:rsidRPr="00000000">
        <w:rPr>
          <w:color w:val="444444"/>
          <w:sz w:val="18"/>
          <w:szCs w:val="18"/>
          <w:rtl w:val="0"/>
        </w:rPr>
        <w:t xml:space="preserve">Figures come from the scenario model, the Sept 17 CFO sync with Josh (cash ~$2.2M, normalized burn ~$50–70K/month, ~$40–50K/month added by the deal and the Unit renewal), and the companion reports in this folder. Cost ranges are typical for a deal of this size and must be confirmed with Corey, Josh and tax counsel. This is structuring analysis, not legal, tax or accounting advice.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short answer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This deal will not break a Series A, in any of the three structures.</w:t>
      </w:r>
      <w:r w:rsidDel="00000000" w:rsidR="00000000" w:rsidRPr="00000000">
        <w:rPr>
          <w:rtl w:val="0"/>
        </w:rPr>
        <w:t xml:space="preserve"> It adds diligence work and some legal and accounting cost, and in every version it shortens Topkey's runway. None of those is a reason for a good investor to pass.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biggest fundraising question is the same in all three structures: does buying a services business make Topkey look like a services company?</w:t>
      </w:r>
      <w:r w:rsidDel="00000000" w:rsidR="00000000" w:rsidRPr="00000000">
        <w:rPr>
          <w:rFonts w:ascii="Arial Unicode MS" w:cs="Arial Unicode MS" w:eastAsia="Arial Unicode MS" w:hAnsi="Arial Unicode MS"/>
          <w:rtl w:val="0"/>
        </w:rPr>
        <w:t xml:space="preserve"> Topkey consolidates Keystone's revenue either way. Revenue roughly doubles (~$3.1M software + ~$3.0M services), gross margin blends, and near-term burn rises because Keystone runs at roughly break-even to −$200–300K a year while Ben is hiring ahead of growth. A lead will value the services revenue at 1–2x, not at a software multiple, and will want proof that the software thesis (VR Platform replacement, agents, referrals) is real. That question is answered by how Keystone performs and how Topkey reports it, not by the 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80" w:lineRule="auto"/>
        <w:rPr>
          <w:b w:val="1"/>
          <w:bCs w:val="1"/>
        </w:rPr>
      </w:pPr>
      <w:r w:rsidDel="00000000" w:rsidR="00000000" w:rsidRPr="00000000">
        <w:rPr>
          <w:b w:val="1"/>
          <w:bCs w:val="1"/>
          <w:rtl w:val="0"/>
        </w:rPr>
        <w:t xml:space="preserve">The structure changes how much friction there is around that question:</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Structure</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Fundraising friction</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Why, in one line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Partnership 70/30</w:t>
            </w:r>
            <w:r w:rsidDel="00000000" w:rsidR="00000000" w:rsidRPr="00000000">
              <w:rPr>
                <w:sz w:val="18"/>
                <w:szCs w:val="18"/>
                <w:vertAlign w:val="baseline"/>
                <w:rtl w:val="0"/>
              </w:rPr>
              <w:t xml:space="preserve"> (current proposal)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Moderate – manageable if the operating agreement is drafted as in LOI v12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minority holder below the cap table and a future put/call claim; least dilution and least cash.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b w:val="1"/>
                <w:bCs w:val="1"/>
                <w:sz w:val="18"/>
                <w:szCs w:val="18"/>
                <w:vertAlign w:val="baseline"/>
                <w:rtl w:val="0"/>
              </w:rPr>
              <w:t xml:space="preserve">100% for Topkey equity</w:t>
            </w:r>
            <w:r w:rsidDel="00000000" w:rsidR="00000000" w:rsidRPr="00000000">
              <w:rPr>
                <w:sz w:val="18"/>
                <w:szCs w:val="18"/>
                <w:vertAlign w:val="baseline"/>
                <w:rtl w:val="0"/>
              </w:rPr>
              <w:t xml:space="preserve"> (no earnout)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Low to moderate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Cleanest ownership, but 4.0% of Topkey issued and all of Ben's upside tied to Topkey. With the $500K cash earnout it moves to moderate.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100% all-cash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High – unless Topkey raises first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Cleanest cap table, but Topkey does not have $3.0M. Funding it means debt, a seller note or raising now, each a senior claim or a forced timeline.</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160" w:lineRule="auto"/>
        <w:rPr/>
      </w:pPr>
      <w:r w:rsidDel="00000000" w:rsidR="00000000" w:rsidRPr="00000000">
        <w:rPr>
          <w:b w:val="1"/>
          <w:bCs w:val="1"/>
          <w:rtl w:val="0"/>
        </w:rPr>
        <w:t xml:space="preserve">The one effect that is not optional: runway.</w:t>
      </w:r>
      <w:r w:rsidDel="00000000" w:rsidR="00000000" w:rsidRPr="00000000">
        <w:rPr>
          <w:rtl w:val="0"/>
        </w:rPr>
        <w:t xml:space="preserve"> Every version spends cash at closing and adds about $40–50K a month of burn. The equity structures take Topkey from roughly 18–24 months of runway to roughly 14–18 months, which likely pulls the Series A forward by 4–8 months unless the Thread card-program refinancing returns the expected ~$350–400K and Keystone reaches break-even on schedule. All-cash cannot be done from the balance sheet at all.</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Cash and runway</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for equity</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all-cash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at closing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$650K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$500K (+ $500–750K earnout in Year 3 if kept)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~$3.0M (a cash buyer might negotiate to 0.8–1.0x, ~$2.4–3.0M)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left from ~$2.2M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~$1.55M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~$1.70M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Negative – needs ~$1.5–2.5M of new money to keep 12–18 months of runway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Monthly burn after closing (Josh's estimate)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~$110K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~$110K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~$110K plus debt service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Runway after closing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~14 months; ~17–18 with the Thread refinancing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 months; ~19 with Thread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Depends entirely on the financing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Future cash claims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Put/call on the 30%: ~$2.4M (Year 3) to ~$3.1M (Year 5) at the Formula Price, at least 30% in cash, annual cap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Earnout $500–750K in Year 3 (if kept); none if dropped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Debt: interest ~$250–300K/yr on $2.3M at ~12% plus amortization; or seller note payments of ~$500–800K/yr</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160" w:lineRule="auto"/>
        <w:rPr/>
      </w:pPr>
      <w:r w:rsidDel="00000000" w:rsidR="00000000" w:rsidRPr="00000000">
        <w:rPr>
          <w:rtl w:val="0"/>
        </w:rPr>
        <w:t xml:space="preserve">Josh's own threshold was 18 months as comfortable and single digits as "should already be raising". Both equity structures land near the bottom of the comfortable range. That is fine if Jon intends to raise in about a year anyway – it simply removes the option of waiting two years for a better round.</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What a Series A lead will look at – scored by structure</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2371.2"/>
        <w:gridCol w:w="2371.2"/>
        <w:gridCol w:w="2371.2"/>
        <w:tblGridChange w:id="0">
          <w:tblGrid>
            <w:gridCol w:w="2246.3999999999996"/>
            <w:gridCol w:w="2371.2"/>
            <w:gridCol w:w="2371.2"/>
            <w:gridCol w:w="2371.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Diligence topic</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for equity</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all-cash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Services revenue and blended margins</w:t>
            </w:r>
          </w:p>
        </w:tc>
        <w:tc>
          <w:tcPr>
            <w:gridSpan w:val="3"/>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sz w:val="18"/>
                <w:szCs w:val="18"/>
                <w:vertAlign w:val="baseline"/>
                <w:rtl w:val="0"/>
              </w:rPr>
              <w:t xml:space="preserve">Same in all three: two-segment reporting (software vs services), segment gross margin, and a credible path for Keystone from break-even to ~20% margins. </w:t>
            </w:r>
            <w:r w:rsidDel="00000000" w:rsidR="00000000" w:rsidRPr="00000000">
              <w:rPr>
                <w:b w:val="1"/>
                <w:bCs w:val="1"/>
                <w:sz w:val="18"/>
                <w:szCs w:val="18"/>
                <w:vertAlign w:val="baseline"/>
                <w:rtl w:val="0"/>
              </w:rPr>
              <w:t xml:space="preserve">This is the main question in every structure.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Cap table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~2.4% (parity converts with the SAFEs)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 ~4.0%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change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Claims ahead of the new money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Put/call on the 30% – formula-priced, share-settleable, capped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Earnout (if kept) – treat as debt-like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Debt or seller note – senior claim, possible covenants and lender consent to the round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Ownership of the acquired business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70% – lead backs out the 30% and wants a drag-along (drafted)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Minority holder consent rights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Yes – limited, cannot block the agreed plan (drafted)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Intercompany pricing / IP ownership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Needs a Services Schedule; IP owned by Topkey (drafted)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Not an issue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Not an issue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equity terms (parity, observer, joinder)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Drafted to end at the Series 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Same issues, on a larger stake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409A pressure on common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Some – the deal and the reference valuation are data points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More – larger issuance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 from the issuance; a cash purchase still adds a services business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Offshore contractor classification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Shared 70/30 through the LLC</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100% Topkey's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100% Topkey's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Founder/operator retention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Strong – Ben keeps 30% of the business he runs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Weaker – ties end after the 36-month repurchase period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Weakest – Ben is paid out; only salary and bonus keep him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and entity complexity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Partnership return, K-1s, NH filings, §754 election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One return once Keystone is disregarded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One return; full step-up</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Investor consents needed now</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Share issuance + acquisition + subsidiary with a minority holder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Share issuance + acquisition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Acquisition + any debt or new money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Overall friction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Moderate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Low–moderate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High (financing), low (cap table)</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160" w:lineRule="auto"/>
        <w:rPr/>
      </w:pPr>
      <w:r w:rsidDel="00000000" w:rsidR="00000000" w:rsidRPr="00000000">
        <w:rPr>
          <w:b w:val="1"/>
          <w:bCs w:val="1"/>
          <w:rtl w:val="0"/>
        </w:rPr>
        <w:t xml:space="preserve">Retention matters more than it looks.</w:t>
      </w:r>
      <w:r w:rsidDel="00000000" w:rsidR="00000000" w:rsidRPr="00000000">
        <w:rPr>
          <w:rtl w:val="0"/>
        </w:rPr>
        <w:t xml:space="preserve"> A lead buying into a software company that owns a services business will ask who runs the services business if Ben leaves. The partnership has the best answer (Ben owns 30%); all-cash has the worst. That can outweigh the cap-table simplicity of the other two.</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Additional burden on the company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One-time costs (typical ranges – confirm with Corey and Josh)</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Item</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for equity</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all-cash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Purchase agreement and closing documents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$60–120K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$60–120K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$50–100K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Operating agreement, Services Schedule, Migration Protocol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+$25–50K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Securities work (private placement, disclosure package, joinders)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$10–20K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$10–20K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structuring (F-reorg, 99-5 or reorg opinion, NH)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$20–40K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$20–40K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$10–25K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Quality of earnings / financial diligence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$15–40K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$15–40K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$15–40K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Purchase price allocation valuation + 409A refresh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$15–30K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$15–30K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$10–20K (PPA only)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Financing costs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Debt fees 1–3% ($25–75K) plus lender counsel, or the cost of an early raise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Approximate total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$145–300K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$120–250K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80" w:before="80" w:lineRule="auto"/>
              <w:rPr>
                <w:b w:val="1"/>
                <w:bCs w:val="1"/>
                <w:sz w:val="18"/>
                <w:szCs w:val="18"/>
                <w:vertAlign w:val="baseline"/>
              </w:rPr>
            </w:pPr>
            <w:r w:rsidDel="00000000" w:rsidR="00000000" w:rsidRPr="00000000">
              <w:rPr>
                <w:b w:val="1"/>
                <w:bCs w:val="1"/>
                <w:sz w:val="18"/>
                <w:szCs w:val="18"/>
                <w:vertAlign w:val="baseline"/>
                <w:rtl w:val="0"/>
              </w:rPr>
              <w:t xml:space="preserve">$110–260K plus financing</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Ongoing burden</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Item</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for equity</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all-cash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Tax filings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Keystone partnership return, K-1s, NH BPT/BET, possible NH filing for Topkey: ~$10–25K/yr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NH BPT/BET for Keystone operations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Same as equity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Governance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Keystone board, quarterly tax distributions, annual Services Schedule review, consent requests: ~2–4 hours/month of Jon/finance time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Budget and KPI process only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Budget and KPI process; lender reporting if debt-funded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Accounting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Noncontrolling interest; redeemable-interest accounting for the put; intercompany eliminations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Earnout remeasured each quarter (if kept)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Debt accounting and covenants (if debt-funded)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Future obligation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Put/call on the 30% in Years 3–5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Earnout in Year 3 (if kept)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Debt or seller-note service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Offshore team compliance</w:t>
            </w:r>
          </w:p>
        </w:tc>
        <w:tc>
          <w:tcPr>
            <w:gridSpan w:val="3"/>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Same in all three: EOR transition for client leads and accounting staff before the Series A (Decision 8) – EOR fees typically $300–600 per person per month, plus any benefits cost.</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Equity cost</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Partnership 70/30</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for equity</w:t>
            </w:r>
          </w:p>
        </w:tc>
        <w:tc>
          <w:tcPr>
            <w:tcBorders>
              <w:top w:color="999999" w:space="0" w:sz="6" w:val="single"/>
              <w:left w:color="999999" w:space="0" w:sz="6" w:val="single"/>
              <w:bottom w:color="999999" w:space="0" w:sz="6" w:val="single"/>
              <w:right w:color="999999" w:space="0" w:sz="6" w:val="single"/>
            </w:tcBorders>
            <w:shd w:fill="e8edf3" w:val="clear"/>
            <w:tcMar>
              <w:top w:w="80.0" w:type="dxa"/>
              <w:left w:w="120.0" w:type="dxa"/>
              <w:bottom w:w="8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100% all-cash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Topkey equity issued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~2.4% ($1.45M at $60M)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~4.0% ($2.5M at $60M)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None (unless an early raise funds it – then more dilution at a worse time)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Jon's all-in MOIC / IRR (model)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3.11x / 25.5%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2.43x / 19.4%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Not modeled; highest ownership retained, but only if the financing is cheap</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Ben's Year-5 value vs standalone (model)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+$1.6M (+21%)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+$0.8M (+11%)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Cash today; about $2.4M after tax, no upside</w:t>
            </w:r>
          </w:p>
        </w:tc>
      </w:tr>
    </w:tbl>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What would make this genuinely bad for fundraising</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Keystone misses its plan.</w:t>
      </w:r>
      <w:r w:rsidDel="00000000" w:rsidR="00000000" w:rsidRPr="00000000">
        <w:rPr>
          <w:rtl w:val="0"/>
        </w:rPr>
        <w:t xml:space="preserve"> If churn rises or the pod model does not normalize, Topkey carries a larger burn and a weaker story. This is the real risk, and it is the same in every structure.</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Closing slips into the raise.</w:t>
      </w:r>
      <w:r w:rsidDel="00000000" w:rsidR="00000000" w:rsidRPr="00000000">
        <w:rPr>
          <w:rtl w:val="0"/>
        </w:rPr>
        <w:t xml:space="preserve"> A deal still in diligence or integration when the Series A process starts is a distraction and an open question. Keep the January 2 effective date.</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Unfinished terms.</w:t>
      </w:r>
      <w:r w:rsidDel="00000000" w:rsidR="00000000" w:rsidRPr="00000000">
        <w:rPr>
          <w:rtl w:val="0"/>
        </w:rPr>
        <w:t xml:space="preserve"> A cash earnout, an uncapped put, open-ended consent rights, a price-protection ratchet with no end date, or a seller who can refuse to sign the new financing documents. LOI v12 closes each of these; do not re-open them in negotiation.</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offshore contractor question is still open at the A.</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Valuation mismatch.</w:t>
      </w:r>
      <w:r w:rsidDel="00000000" w:rsidR="00000000" w:rsidRPr="00000000">
        <w:rPr>
          <w:rtl w:val="0"/>
        </w:rPr>
        <w:t xml:space="preserve"> A letter that says $60M when only $50M is closed, while the 409A shows ~$10.5M. Handled in v12 by referencing the closed SAFE.</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the deal with debt or a seller note</w:t>
      </w:r>
      <w:r w:rsidDel="00000000" w:rsidR="00000000" w:rsidRPr="00000000">
        <w:rPr>
          <w:rtl w:val="0"/>
        </w:rPr>
        <w:t xml:space="preserve"> ahead of a raise (the all-cash route).</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How to present it to a Series A lead</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Report two segments from month one: software ARR and gross margin, services revenue and gross margin.</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Show the services business as a distribution and product-development channel: Topkey-referred clients, VR Platform replaced by Topkey trust accounting, agents tested on Keystone's book.</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Show the capped, formula-priced path to 100% (call, drag, share settlement) and that Ben's rights end at or survive the round on standard terms.</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Show the offshore compliance plan completed.</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Show runway with and without the Thread refinancing, and Keystone's path to break-even.</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Recommendation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Keep the partnership.</w:t>
      </w:r>
      <w:r w:rsidDel="00000000" w:rsidR="00000000" w:rsidRPr="00000000">
        <w:rPr>
          <w:rtl w:val="0"/>
        </w:rPr>
        <w:t xml:space="preserve"> It has slightly more paperwork than the equity buyout and more governance than either 100% option, but it uses the least equity, keeps the operator most committed, avoids an earnout, and leaves Topkey with more runway than the all-cash route. The extra burden is roughly $25–50K of one-time legal cost and a few hours a month of governance, in exchange for issuing ~1.6 points less of Topkey and $1.4M less total consideration.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Choose the 100% equity buyout instead</w:t>
      </w:r>
      <w:r w:rsidDel="00000000" w:rsidR="00000000" w:rsidRPr="00000000">
        <w:rPr>
          <w:rtl w:val="0"/>
        </w:rPr>
        <w:t xml:space="preserve"> only if a prospective lead tells you directly that it will not accept a minority holder in a subsidiary – and in that case drop the cash earnout.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 not pursue all-cash</w:t>
      </w:r>
      <w:r w:rsidDel="00000000" w:rsidR="00000000" w:rsidRPr="00000000">
        <w:rPr>
          <w:rtl w:val="0"/>
        </w:rPr>
        <w:t xml:space="preserve"> unless Topkey raises first for other reasons. It is the only structure that forces a financing decision now.</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Either way, plan the Series A for roughly 12 months out,</w:t>
      </w:r>
      <w:r w:rsidDel="00000000" w:rsidR="00000000" w:rsidRPr="00000000">
        <w:rPr>
          <w:rtl w:val="0"/>
        </w:rPr>
        <w:t xml:space="preserve"> and get the Thread refinancing done before closing.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444444"/>
          <w:sz w:val="18"/>
          <w:szCs w:val="18"/>
        </w:rPr>
      </w:pPr>
      <w:r w:rsidDel="00000000" w:rsidR="00000000" w:rsidRPr="00000000">
        <w:rPr>
          <w:color w:val="444444"/>
          <w:sz w:val="18"/>
          <w:szCs w:val="18"/>
          <w:rtl w:val="0"/>
        </w:rPr>
        <w:t xml:space="preserve">Prepared by AMB Advisory Services LLC. Structuring analysis only. Cost ranges are indicative; runway figures use the Sept 17 estimates and assume no revenue growth.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widowControl w:val="0"/>
        <w:spacing w:line="32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4"/>
      <w:szCs w:val="3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20" w:lineRule="auto"/>
    </w:pPr>
    <w:rPr>
      <w:b w:val="1"/>
      <w:bCs w:val="1"/>
      <w:i w:val="0"/>
      <w:iCs w:val="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