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Keystone Deal – Topkey Data Room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Findings from the Topkey investor diligence folder and what they change in the offer, the LOI and our next steps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Prepared by AMB Advisory Services LLC for Jon Sukhia / Topkey and Corey (counsel) | September 24, 2026 | Confidential – internal to Topkey and its advisors; not for Ben or Keystone. Read-only review; nothing in the data room was edited or added.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lineRule="auto"/>
        <w:rPr>
          <w:color w:val="444444"/>
          <w:sz w:val="18"/>
          <w:szCs w:val="18"/>
        </w:rPr>
      </w:pPr>
      <w:r w:rsidDel="00000000" w:rsidR="00000000" w:rsidRPr="00000000">
        <w:rPr>
          <w:color w:val="444444"/>
          <w:sz w:val="18"/>
          <w:szCs w:val="18"/>
          <w:rtl w:val="0"/>
        </w:rPr>
        <w:t xml:space="preserve">Sources: Topkey, Inc. investor diligence folder (index dated September 24, 2026): 00 index, 01 Pulley cap table (data to 9/24/26), 02–03 operative charter and amendment, 04 financial statements through 8/31/26, 05 bylaws (not reviewed in detail), 06 SAFE summary, 07 revenue and metrics summary (June 2026), 08 H1 2026 investor update; folder 2 (Felicis term sheet 2/6/23, Investors' Rights Agreement, Voting Agreement); folders 4 and 6 (Thread Bank Loan and Security Agreement 9/25/23, 2023 warrant, 2025 term sheet, Third Amendment 6/27/25, Fourth Amendment 6/27/26); folder 5 (2025 stockholder consent). Charter and contract section references are quoted so counsel can verify. This is deal-structuring analysis, not legal, tax or accounting advice.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Key Findings</w:t>
      </w:r>
    </w:p>
    <w:tbl>
      <w:tblPr>
        <w:tblStyle w:val="Table1"/>
        <w:tblW w:w="9360.000000000002"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3369.6"/>
        <w:gridCol w:w="3156.8000000000006"/>
        <w:gridCol w:w="2433.6000000000004"/>
        <w:tblGridChange w:id="0">
          <w:tblGrid>
            <w:gridCol w:w="400"/>
            <w:gridCol w:w="3369.6"/>
            <w:gridCol w:w="3156.8000000000006"/>
            <w:gridCol w:w="2433.6000000000004"/>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Finding</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Why it matters</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What we do about it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beaea" w:val="clear"/>
            <w:tcMar>
              <w:top w:w="80.0" w:type="dxa"/>
              <w:left w:w="120.0" w:type="dxa"/>
              <w:bottom w:w="8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fbeaea" w:val="clear"/>
            <w:tcMar>
              <w:top w:w="80.0" w:type="dxa"/>
              <w:left w:w="120.0" w:type="dxa"/>
              <w:bottom w:w="8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b w:val="1"/>
                <w:bCs w:val="1"/>
                <w:sz w:val="18"/>
                <w:szCs w:val="18"/>
                <w:shd w:fill="auto" w:val="clear"/>
                <w:vertAlign w:val="baseline"/>
                <w:rtl w:val="0"/>
              </w:rPr>
              <w:t xml:space="preserve">The 70/30 structure requires preferred stockholder consent, and Felicis alone cannot give it.</w:t>
            </w:r>
            <w:r w:rsidDel="00000000" w:rsidR="00000000" w:rsidRPr="00000000">
              <w:rPr>
                <w:sz w:val="18"/>
                <w:szCs w:val="18"/>
                <w:shd w:fill="auto" w:val="clear"/>
                <w:vertAlign w:val="baseline"/>
                <w:rtl w:val="0"/>
              </w:rPr>
              <w:t xml:space="preserve"> Charter Art. IV.B §3.3.9: Topkey may not "create, or hold capital stock in, any subsidiary that is not wholly owned" without the consent of 55% of the Preferred ("Requisite Holders"). Felicis holds 46.8% of the Preferred (2,417,794 of 5,164,460 shares).</w:t>
            </w:r>
          </w:p>
        </w:tc>
        <w:tc>
          <w:tcPr>
            <w:tcBorders>
              <w:top w:color="999999" w:space="0" w:sz="6" w:val="single"/>
              <w:left w:color="999999" w:space="0" w:sz="6" w:val="single"/>
              <w:bottom w:color="999999" w:space="0" w:sz="6" w:val="single"/>
              <w:right w:color="999999" w:space="0" w:sz="6" w:val="single"/>
            </w:tcBorders>
            <w:shd w:fill="fbeaea" w:val="clear"/>
            <w:tcMar>
              <w:top w:w="80.0" w:type="dxa"/>
              <w:left w:w="120.0" w:type="dxa"/>
              <w:bottom w:w="8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Jon's assumption that "Felicis will bless it" is necessary but not sufficient. Felicis needs one more large holder: a16z (18.2%) or YC ES20 (14.3%). Felicis + a16z = 65%; Felicis + YC = 61%. The 2025 SAFE consent was signed by exactly Felicis and a16z, so there is a working precedent.</w:t>
            </w:r>
          </w:p>
        </w:tc>
        <w:tc>
          <w:tcPr>
            <w:tcBorders>
              <w:top w:color="999999" w:space="0" w:sz="6" w:val="single"/>
              <w:left w:color="999999" w:space="0" w:sz="6" w:val="single"/>
              <w:bottom w:color="999999" w:space="0" w:sz="6" w:val="single"/>
              <w:right w:color="999999" w:space="0" w:sz="6" w:val="single"/>
            </w:tcBorders>
            <w:shd w:fill="fbeaea" w:val="clear"/>
            <w:tcMar>
              <w:top w:w="80.0" w:type="dxa"/>
              <w:left w:w="120.0" w:type="dxa"/>
              <w:bottom w:w="8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Brief Felicis and a16z before the LOI is signed. Draft one omnibus written consent (see §5). Make it a closing condition in the LOI.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beaea" w:val="clear"/>
            <w:tcMar>
              <w:top w:w="80.0" w:type="dxa"/>
              <w:left w:w="120.0" w:type="dxa"/>
              <w:bottom w:w="8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fbeaea" w:val="clear"/>
            <w:tcMar>
              <w:top w:w="80.0" w:type="dxa"/>
              <w:left w:w="120.0" w:type="dxa"/>
              <w:bottom w:w="8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b w:val="1"/>
                <w:bCs w:val="1"/>
                <w:sz w:val="18"/>
                <w:szCs w:val="18"/>
                <w:shd w:fill="auto" w:val="clear"/>
                <w:vertAlign w:val="baseline"/>
                <w:rtl w:val="0"/>
              </w:rPr>
              <w:t xml:space="preserve">The Thread Bank loan agreement blocks the deal as drafted.</w:t>
            </w:r>
            <w:r w:rsidDel="00000000" w:rsidR="00000000" w:rsidRPr="00000000">
              <w:rPr>
                <w:sz w:val="18"/>
                <w:szCs w:val="18"/>
                <w:shd w:fill="auto" w:val="clear"/>
                <w:vertAlign w:val="baseline"/>
                <w:rtl w:val="0"/>
              </w:rPr>
              <w:t xml:space="preserve"> LSA §7.7 (no Investments other than Permitted Investments), §7.3 (no acquisition of "all or substantially all of the capital stock or property of another Person"), and §6.10 (any new Subsidiary must become a co-borrower or secured guarantor and Topkey must pledge its Shares in it). The line matured </w:t>
            </w:r>
            <w:r w:rsidDel="00000000" w:rsidR="00000000" w:rsidRPr="00000000">
              <w:rPr>
                <w:b w:val="1"/>
                <w:bCs w:val="1"/>
                <w:sz w:val="18"/>
                <w:szCs w:val="18"/>
                <w:shd w:fill="auto" w:val="clear"/>
                <w:vertAlign w:val="baseline"/>
                <w:rtl w:val="0"/>
              </w:rPr>
              <w:t xml:space="preserve">August 26, 2026</w:t>
            </w:r>
            <w:r w:rsidDel="00000000" w:rsidR="00000000" w:rsidRPr="00000000">
              <w:rPr>
                <w:sz w:val="18"/>
                <w:szCs w:val="18"/>
                <w:shd w:fill="auto" w:val="clear"/>
                <w:vertAlign w:val="baseline"/>
                <w:rtl w:val="0"/>
              </w:rPr>
              <w:t xml:space="preserve"> (Fourth Amendment) and </w:t>
            </w:r>
            <w:r w:rsidDel="00000000" w:rsidR="00000000" w:rsidRPr="00000000">
              <w:rPr>
                <w:b w:val="1"/>
                <w:bCs w:val="1"/>
                <w:sz w:val="18"/>
                <w:szCs w:val="18"/>
                <w:shd w:fill="auto" w:val="clear"/>
                <w:vertAlign w:val="baseline"/>
                <w:rtl w:val="0"/>
              </w:rPr>
              <w:t xml:space="preserve">$500,000 was still drawn at August 31, 2026</w:t>
            </w:r>
            <w:r w:rsidDel="00000000" w:rsidR="00000000" w:rsidRPr="00000000">
              <w:rPr>
                <w:sz w:val="18"/>
                <w:szCs w:val="18"/>
                <w:shd w:fill="auto" w:val="clear"/>
                <w:vertAlign w:val="baseline"/>
                <w:rtl w:val="0"/>
              </w:rPr>
              <w:t xml:space="preserve"> (balance sheet).</w:t>
            </w:r>
          </w:p>
        </w:tc>
        <w:tc>
          <w:tcPr>
            <w:tcBorders>
              <w:top w:color="999999" w:space="0" w:sz="6" w:val="single"/>
              <w:left w:color="999999" w:space="0" w:sz="6" w:val="single"/>
              <w:bottom w:color="999999" w:space="0" w:sz="6" w:val="single"/>
              <w:right w:color="999999" w:space="0" w:sz="6" w:val="single"/>
            </w:tcBorders>
            <w:shd w:fill="fbeaea" w:val="clear"/>
            <w:tcMar>
              <w:top w:w="80.0" w:type="dxa"/>
              <w:left w:w="120.0" w:type="dxa"/>
              <w:bottom w:w="8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Buying 70% of Keystone is an "Investment" and Keystone would be a "Subsidiary" (&gt;50% owned). Without a waiver, closing is an Event of Default (§8.2(a)) and Keystone would have to guarantee Topkey's debt and give Thread a lien over its assets, which Ben will not accept. A put/call payment to Ben would also be an Investment.</w:t>
            </w:r>
          </w:p>
        </w:tc>
        <w:tc>
          <w:tcPr>
            <w:tcBorders>
              <w:top w:color="999999" w:space="0" w:sz="6" w:val="single"/>
              <w:left w:color="999999" w:space="0" w:sz="6" w:val="single"/>
              <w:bottom w:color="999999" w:space="0" w:sz="6" w:val="single"/>
              <w:right w:color="999999" w:space="0" w:sz="6" w:val="single"/>
            </w:tcBorders>
            <w:shd w:fill="fbeaea" w:val="clear"/>
            <w:tcMar>
              <w:top w:w="80.0" w:type="dxa"/>
              <w:left w:w="120.0" w:type="dxa"/>
              <w:bottom w:w="8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Recommended: pay off and terminate the facility before closing (the charge-card program it funds is being sunset). Alternative: written consent and amendment carving Keystone out of §6.10. Either way, a closing condition. Confirm today whether the line was extended past August 26 or is in default.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6ea" w:val="clear"/>
            <w:tcMar>
              <w:top w:w="80.0" w:type="dxa"/>
              <w:left w:w="120.0" w:type="dxa"/>
              <w:bottom w:w="8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eef6ea" w:val="clear"/>
            <w:tcMar>
              <w:top w:w="80.0" w:type="dxa"/>
              <w:left w:w="120.0" w:type="dxa"/>
              <w:bottom w:w="8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b w:val="1"/>
                <w:bCs w:val="1"/>
                <w:sz w:val="18"/>
                <w:szCs w:val="18"/>
                <w:shd w:fill="auto" w:val="clear"/>
                <w:vertAlign w:val="baseline"/>
                <w:rtl w:val="0"/>
              </w:rPr>
              <w:t xml:space="preserve">Plain common is the right opening position, and the documents support it.</w:t>
            </w:r>
            <w:r w:rsidDel="00000000" w:rsidR="00000000" w:rsidRPr="00000000">
              <w:rPr>
                <w:sz w:val="18"/>
                <w:szCs w:val="18"/>
                <w:shd w:fill="auto" w:val="clear"/>
                <w:vertAlign w:val="baseline"/>
                <w:rtl w:val="0"/>
              </w:rPr>
              <w:t xml:space="preserve"> Common ranks junior to Preferred, so §3.3.3 (consent for any security not junior to Preferred) does not apply. At the reference price (~$3.39–4.07 per share, see §3) Ben's shares are far above every series' conversion price ($0.17–$1.55), so the weighted-average anti-dilution in §4.4 is not triggered. There are 5,980,395 authorized-but-unissued common shares, so no charter amendment is needed for a ~356–428K share issuance.</w:t>
            </w:r>
          </w:p>
        </w:tc>
        <w:tc>
          <w:tcPr>
            <w:tcBorders>
              <w:top w:color="999999" w:space="0" w:sz="6" w:val="single"/>
              <w:left w:color="999999" w:space="0" w:sz="6" w:val="single"/>
              <w:bottom w:color="999999" w:space="0" w:sz="6" w:val="single"/>
              <w:right w:color="999999" w:space="0" w:sz="6" w:val="single"/>
            </w:tcBorders>
            <w:shd w:fill="eef6ea" w:val="clear"/>
            <w:tcMar>
              <w:top w:w="80.0" w:type="dxa"/>
              <w:left w:w="120.0" w:type="dxa"/>
              <w:bottom w:w="8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Anything preferred-like for Ben (the "parity" fallback) would need a charter amendment plus the 55% consent and would rank with the Preferred. That is a much heavier ask than we assumed.</w:t>
            </w:r>
          </w:p>
        </w:tc>
        <w:tc>
          <w:tcPr>
            <w:tcBorders>
              <w:top w:color="999999" w:space="0" w:sz="6" w:val="single"/>
              <w:left w:color="999999" w:space="0" w:sz="6" w:val="single"/>
              <w:bottom w:color="999999" w:space="0" w:sz="6" w:val="single"/>
              <w:right w:color="999999" w:space="0" w:sz="6" w:val="single"/>
            </w:tcBorders>
            <w:shd w:fill="eef6ea" w:val="clear"/>
            <w:tcMar>
              <w:top w:w="80.0" w:type="dxa"/>
              <w:left w:w="120.0" w:type="dxa"/>
              <w:bottom w:w="8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Keep plain common. Change the fallback from "parity with SAFE holders" to a limited common-stock ratchet that ends at the first priced round (Option B in the decisions doc).</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b w:val="1"/>
                <w:bCs w:val="1"/>
                <w:sz w:val="18"/>
                <w:szCs w:val="18"/>
                <w:shd w:fill="auto" w:val="clear"/>
                <w:vertAlign w:val="baseline"/>
                <w:rtl w:val="0"/>
              </w:rPr>
              <w:t xml:space="preserve">The issuance still needs an Investors' Rights Agreement waiver.</w:t>
            </w:r>
            <w:r w:rsidDel="00000000" w:rsidR="00000000" w:rsidRPr="00000000">
              <w:rPr>
                <w:rFonts w:ascii="Arial Unicode MS" w:cs="Arial Unicode MS" w:eastAsia="Arial Unicode MS" w:hAnsi="Arial Unicode MS"/>
                <w:sz w:val="18"/>
                <w:szCs w:val="18"/>
                <w:shd w:fill="auto" w:val="clear"/>
                <w:vertAlign w:val="baseline"/>
                <w:rtl w:val="0"/>
              </w:rPr>
              <w:t xml:space="preserve"> IRA §4.1 gives each Major Investor (≥900,000 Registrable Securities: Felicis and a16z) a right of first offer on any "New Securities". The charter's list of Exempted Securities has no acquisition carve-out; the closest is §4.4.1(a)(viii) (strategic partnerships approved by the Board, capped at 604,936 shares in total with (vii)).</w:t>
            </w:r>
          </w:p>
        </w:tc>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Unless the Board treats the Keystone issuance as an exempted strategic transaction, the ROFO applies and must be waived. IRA §6.6(b): a waiver of §4 needs the Company plus a majority of Major Investor shares, which Felicis alone holds.</w:t>
            </w:r>
          </w:p>
        </w:tc>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Include the ROFO waiver in the same omnibus consent (as in the 2025 SAFE consent). Ask Corey whether to also rely on the (viii) exemption.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b w:val="1"/>
                <w:bCs w:val="1"/>
                <w:sz w:val="18"/>
                <w:szCs w:val="18"/>
                <w:shd w:fill="auto" w:val="clear"/>
                <w:vertAlign w:val="baseline"/>
                <w:rtl w:val="0"/>
              </w:rPr>
              <w:t xml:space="preserve">Ben will be a "Related Party" under the charter.</w:t>
            </w:r>
            <w:r w:rsidDel="00000000" w:rsidR="00000000" w:rsidRPr="00000000">
              <w:rPr>
                <w:sz w:val="18"/>
                <w:szCs w:val="18"/>
                <w:shd w:fill="auto" w:val="clear"/>
                <w:vertAlign w:val="baseline"/>
                <w:rtl w:val="0"/>
              </w:rPr>
              <w:t xml:space="preserve"> §3.3.8: transactions with any officer of Topkey, or an entity he controls, need Requisite Holder consent unless on arm's-length terms in the ordinary course. Ben will be an officer (Head of Accounting Services); his holding company owns the 30%; the put/call, the Services Schedule, the recruiting-company arrangement and his employment terms are all transactions with a Related Party or his entity.</w:t>
            </w:r>
          </w:p>
        </w:tc>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Each of these could require a separate 55% consent at the time it is exercised, unless approved now.</w:t>
            </w:r>
          </w:p>
        </w:tc>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Have the omnibus consent approve the purchase agreement, Operating Agreement (including put/call and Services Schedule), Ben's employment agreement and the recruiting arrangement as a package.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b w:val="1"/>
                <w:bCs w:val="1"/>
                <w:sz w:val="18"/>
                <w:szCs w:val="18"/>
                <w:shd w:fill="auto" w:val="clear"/>
                <w:vertAlign w:val="baseline"/>
                <w:rtl w:val="0"/>
              </w:rPr>
              <w:t xml:space="preserve">There is no $60M SAFE in the data room.</w:t>
            </w:r>
            <w:r w:rsidDel="00000000" w:rsidR="00000000" w:rsidRPr="00000000">
              <w:rPr>
                <w:sz w:val="18"/>
                <w:szCs w:val="18"/>
                <w:shd w:fill="auto" w:val="clear"/>
                <w:vertAlign w:val="baseline"/>
                <w:rtl w:val="0"/>
              </w:rPr>
              <w:t xml:space="preserve"> Outstanding SAFEs: $248,618 at a $35M post-money cap (2023) and $1,390,000 at a $50M cap (2025). The 2025 consent authorized SAFEs "in substantially the form attached" up to $2.5M in aggregate. One 2025 instrument (Kindergarten) defines a "Pre-Money Valuation Cap" of $50M, which the index flags as a drafting error.</w:t>
            </w:r>
          </w:p>
        </w:tc>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The LOI's "further SAFE expected to close at $60M" is not yet a document. A $60M-cap SAFE may or may not fall within the 2025 authorization. The last completed instrument supports $50M, not $60M.</w:t>
            </w:r>
          </w:p>
        </w:tc>
        <w:tc>
          <w:tcPr>
            <w:tcBorders>
              <w:top w:color="999999" w:space="0" w:sz="6" w:val="single"/>
              <w:left w:color="999999" w:space="0" w:sz="6" w:val="single"/>
              <w:bottom w:color="999999" w:space="0" w:sz="6" w:val="single"/>
              <w:right w:color="999999" w:space="0" w:sz="6" w:val="single"/>
            </w:tcBorders>
            <w:shd w:fill="fff6dd" w:val="clear"/>
            <w:tcMar>
              <w:top w:w="80.0" w:type="dxa"/>
              <w:left w:w="120.0" w:type="dxa"/>
              <w:bottom w:w="8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Reference Valuation in the LOI should be </w:t>
            </w:r>
            <w:r w:rsidDel="00000000" w:rsidR="00000000" w:rsidRPr="00000000">
              <w:rPr>
                <w:b w:val="1"/>
                <w:bCs w:val="1"/>
                <w:sz w:val="18"/>
                <w:szCs w:val="18"/>
                <w:shd w:fill="auto" w:val="clear"/>
                <w:vertAlign w:val="baseline"/>
                <w:rtl w:val="0"/>
              </w:rPr>
              <w:t xml:space="preserve">$50M</w:t>
            </w:r>
            <w:r w:rsidDel="00000000" w:rsidR="00000000" w:rsidRPr="00000000">
              <w:rPr>
                <w:sz w:val="18"/>
                <w:szCs w:val="18"/>
                <w:shd w:fill="auto" w:val="clear"/>
                <w:vertAlign w:val="baseline"/>
                <w:rtl w:val="0"/>
              </w:rPr>
              <w:t xml:space="preserve"> unless the $60M SAFE has closed and Corey confirms it was validly authorized. Fix the Kindergarten cap language before any waterfall or ownership calculation is shown to Ben.</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What is in the data room (and what is not)</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Document</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Key content for the Keystone deal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01 Cap table (Pulley, 9/24/26)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14,233,119 fully diluted shares before SAFE conversion: 7,499,144 common (Jon 4.0M; co-founder Bryan Beshore 3.49M; 2 employees), 439,054 Founder Preferred (Jon 350K, Tom Patton 89K), 5,164,460 Preferred across six series, 1,130,461 option pool (323,763 outstanding, 806,698 available). Latest option strike $0.22 (Dec 2025 grants). SAFEs outstanding $1,638,618. Thread Bank warrants (2023: 21,000–35,000 common at $0.01, adjustable to 409A; 2025: 7,500 at $0.22) are not shown on the cap table.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02/03 Operative charter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Authorized: 14,610,000 common, 439,054 Founder Preferred, 5,164,460 Preferred (all issued). 1x non-participating preference, pari passu across series, $6.68M aggregate. Requisite Holders = 55% of Preferred. Protective provisions §3.3.1–3.3.10 (see §4 below). Weighted-average anti-dilution §4.4. Board: two Common Directors elected by common/Founder Preferred; balance elected by all holders.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04 Financial statements through 8/31/26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$2.52M total; $40K reserve and $500K warehouse line deducted gives $1.98M pro forma unrestricted; net quick assets $2.25M. August revenue $261.5K (platform fees $212K, deposit/interest $32K, net interchange $15K), gross margin 90%, net loss $33.6K. YTD 2026 net loss $771K vs 2025 full year $1.84M. Cash burn August $166K (receivables build); 3-month normalized burn $63K. Reward-points liability $476K. 17 FTEs.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06 SAFE summary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All post-money YC form, cap only, no discount, no MFN, no pro rata in the instruments (a16z has a separate pro rata side letter). Junior to debt, on par with Preferred on a sale. Two form vintages in the 2025 round; Kindergarten "pre-money cap" wording.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07 Metrics (June 2026) / 08 Investor update (July 2026)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SaaS ARR $3.06M at June (+169% YoY), banking/deposit revenue $568K, net interchange ~$130K winding down; 320 customers, ~40,000 properties, NRR 213%, logo retention ~95%, deposits $85M+. Series A process in Q1 2026 paused after four weeks; plan rebuilt around profitability; runway ~22 months on quick assets. Managed bookkeeping launched in private beta with Amanda Hoffmann and a partner firm. BaaS renewal at year-end; SOC 2 vendor to be selected; charge-card program transitioning to a successor issuer.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Folder 2 – Series Seed (Felicis lead, April 2023)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$22M post-money, $4.5M raised, $1.551 per Series Seed share. IRA: Major Investor = 900,000+ shares (Felicis, a16z); information rights, ROFO (§4.1), market stand-off, QSBS covenant (§5.4). Voting Agreement: board fixed at two Common Directors (Jon and one vacancy), drag-along at 55% of Preferred plus a majority of Key Holder shares (Jon, Bryan), any new holder of ≥1% must sign an Adoption Agreement (§7.1(b)). A separate Founder Voting Agreement (Jon, Bryan, Felicis) is referenced but not in the folder.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Folders 4 and 6 – Thread Bank facility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Formula revolving line up to $2.0M against charge-card receivables; Prime + 1.75% (8% floor); first lien on all assets except IP (negative pledge on IP); pledge of all Shares in subsidiaries; DACAs over Mercury and Brex; RML covenant ≥ 4 months; negative covenants on dispositions, change in business, mergers/acquisitions, indebtedness, liens, distributions, investments and affiliate transactions; maturity extended to August 26, 2026. $500K drawn since August 2025.</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Folder 5 – 2025 SAFE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Stockholder consent (Felicis + a16z) approving the SAFE financing up to $2.5M and waiving the ROFO – the template for our consent.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Not in the folder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current 409A report (Jon has cited $0.17; the documents show $0.22); any Thread extension or payoff after August 26, 2026; the Founder Voting Agreement; the Burkland $60M SAFE; the ARR bridge; the ROFR &amp; Co-Sale agreement's treatment of new common holders (not reviewed); FY2025 audited financials (the LSA requires a CPA audit within 180 days of FYE 2025 if the Board requires one); Bryan Beshore's current role.</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The numbers that go into the offer</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Share price and Ben's ownership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80" w:lineRule="auto"/>
        <w:rPr/>
      </w:pPr>
      <w:r w:rsidDel="00000000" w:rsidR="00000000" w:rsidRPr="00000000">
        <w:rPr>
          <w:rFonts w:ascii="Arial Unicode MS" w:cs="Arial Unicode MS" w:eastAsia="Arial Unicode MS" w:hAnsi="Arial Unicode MS"/>
          <w:rtl w:val="0"/>
        </w:rPr>
        <w:t xml:space="preserve">The SAFEs convert into a fixed percentage of the post-conversion capitalization: $248,618 ÷ $35M = 0.71% and $1,390,000 ÷ $50M = 2.78%, about 3.49% together. Post-conversion fully diluted shares before Ben ≈ 14,233,119 ÷ (1 − 0.0349) ≈ </w:t>
      </w:r>
      <w:r w:rsidDel="00000000" w:rsidR="00000000" w:rsidRPr="00000000">
        <w:rPr>
          <w:b w:val="1"/>
          <w:bCs w:val="1"/>
          <w:rtl w:val="0"/>
        </w:rPr>
        <w:t xml:space="preserve">14.75M</w:t>
      </w:r>
      <w:r w:rsidDel="00000000" w:rsidR="00000000" w:rsidRPr="00000000">
        <w:rPr>
          <w:rtl w:val="0"/>
        </w:rPr>
        <w:t xml:space="preserve">.</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Reference Valuation</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Price per share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Shares for $1.45M</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Ben's ownership (post-SAFE, post-issuance)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$60M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 $4.07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 356,000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 2.4%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$50M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 $3.39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 428,000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 2.8%</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160" w:lineRule="auto"/>
        <w:rPr>
          <w:color w:val="444444"/>
          <w:sz w:val="18"/>
          <w:szCs w:val="18"/>
        </w:rPr>
      </w:pPr>
      <w:r w:rsidDel="00000000" w:rsidR="00000000" w:rsidRPr="00000000">
        <w:rPr>
          <w:color w:val="444444"/>
          <w:sz w:val="18"/>
          <w:szCs w:val="18"/>
          <w:rtl w:val="0"/>
        </w:rPr>
        <w:t xml:space="preserve">Because the SAFEs are post-money instruments, their holders keep their fixed percentage; the dilution from Ben's shares falls on the existing common and preferred holders. Thread warrants (up to 42,500 shares, ~0.3%) are excluded above and from the Pulley count.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What the 409A gap really looks like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latest option grants (December 2025) were struck at $0.22, and the 2025 Thread term sheet cites the February 2025 409A at $0.22. If the current 409A is $0.17 as Jon has said, it is even lower. At $0.22, Ben's 356,000–428,000 shares would carry a fair value of only </w:t>
      </w:r>
      <w:r w:rsidDel="00000000" w:rsidR="00000000" w:rsidRPr="00000000">
        <w:rPr>
          <w:b w:val="1"/>
          <w:bCs w:val="1"/>
          <w:rtl w:val="0"/>
        </w:rPr>
        <w:t xml:space="preserve">$78,000–$94,000</w:t>
      </w:r>
      <w:r w:rsidDel="00000000" w:rsidR="00000000" w:rsidRPr="00000000">
        <w:rPr>
          <w:rtl w:val="0"/>
        </w:rPr>
        <w:t xml:space="preserve">, about 5–6% of the $1.45M headline. That is the number an appraiser starts from, and it is why the earlier "50% of reference" tax assumption in Offer Review v3 may be conservative. It is also why an unexplained gap will be visible to Ben's advisors: the shares will be issued at ~$3.39–4.07 and the company's own last common valuation is ~$0.22. Get the appraiser's read before the walk-through, as recommended in the options document.</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Where the preference actually bites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Preferred's $6.68M 1x non-participating preference converts to common whenever converting pays more. The Preferred own about 36% of the pre-SAFE fully diluted shares, so above an equity value of roughly $18–19M (about $21M once the $1.64M of SAFEs, which sit alongside the Preferred on a sale, are included) everyone is paid pro rata. In plain terms: Ben's common is behind the Preferred only if Topkey is worth less than about a third of the valuation he is being priced at. That is the honest and reassuring way to explain "common vs preferred" to him.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Cash and runway, updated</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Amount</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Comment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at 8/31/26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$2.52M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Of which $607K sits in the charge-card operational account and $163K in the Thread reserve account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Less $40K minimum balance and $500K warehouse line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$1.98M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Topkey's own "pro forma unrestricted cash" line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Net quick assets (adds receivables, deducts payables, reward points, etc.)</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$2.25M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Thread's RML covenant is tested on unrestricted cash ÷ 3-month average burn; must stay ≥ 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Less Keystone closing cash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−$650K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Leaves ≈ $1.33M unrestricted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Post-deal monthly burn (Josh's estimate incl. Keystone and the Unit renewal)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~$110K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Topkey's own August net loss was $34K and 3-month normalized cash burn $63K, so ~$110K is a reasonable planning number, not a worst case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Runway after closing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b w:val="1"/>
                <w:bCs w:val="1"/>
                <w:sz w:val="18"/>
                <w:szCs w:val="18"/>
                <w:vertAlign w:val="baseline"/>
                <w:rtl w:val="0"/>
              </w:rPr>
              <w:t xml:space="preserve">≈ 12 months</w:t>
            </w:r>
            <w:r w:rsidDel="00000000" w:rsidR="00000000" w:rsidRPr="00000000">
              <w:rPr>
                <w:rFonts w:ascii="Arial Unicode MS" w:cs="Arial Unicode MS" w:eastAsia="Arial Unicode MS" w:hAnsi="Arial Unicode MS"/>
                <w:sz w:val="18"/>
                <w:szCs w:val="18"/>
                <w:vertAlign w:val="baseline"/>
                <w:rtl w:val="0"/>
              </w:rPr>
              <w:t xml:space="preserve"> at $110K; ≈ 15 months at $85K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Tighter than the 14–18 months in the bottom-line report, which used a rounder $2.2M cash figure. The Thread payoff does not change this because the $500K is already excluded.</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160" w:lineRule="auto"/>
        <w:rPr/>
      </w:pPr>
      <w:r w:rsidDel="00000000" w:rsidR="00000000" w:rsidRPr="00000000">
        <w:rPr>
          <w:rtl w:val="0"/>
        </w:rPr>
        <w:t xml:space="preserve">Two mitigants are available and both are permitted by the documents: (a) the LSA permits Subordinated Debt (§1.1 "Permitted Indebtedness" (e)), so a $150–200K deferred, subordinated payment to Ben is possible if the line stays in place; and (b) if the line is paid off, the charge-card receivables ($779K customer receivable at August 31) are collected as the program winds down and the reserve and operational balances are released, which is the ~$350–400K Jon expected back.</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Revenue reconciliation to do before anything goes to Ben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Fonts w:ascii="Arial Unicode MS" w:cs="Arial Unicode MS" w:eastAsia="Arial Unicode MS" w:hAnsi="Arial Unicode MS"/>
          <w:rtl w:val="0"/>
        </w:rPr>
        <w:t xml:space="preserve">The investor materials say SaaS ARR $3.06M at June. The financial statements show August platform-fee revenue of $212K (≈ $2.55M annualized), deposit and interest revenue of $32K (≈ $384K), and total revenue of $261.5K (≈ $3.14M all-in). The difference is definitional (billing vs contracted, and the "ARR (Total Revenues)" line of $3.14M in the statements), but the index itself lists an ARR bridge as missing. Ben's reverse diligence package should use the GAAP statements as the controlling source and show the bridge, or his advisors will find the gap themselves.</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Charter protective provisions – section by section</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123.1999999999998"/>
        <w:gridCol w:w="3556.8"/>
        <w:gridCol w:w="4680"/>
        <w:tblGridChange w:id="0">
          <w:tblGrid>
            <w:gridCol w:w="1123.1999999999998"/>
            <w:gridCol w:w="3556.8"/>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Section</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Provision (paraphrased)</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Effect on the partnership deal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§3.3.1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merger, consolidation or Deemed Liquidation Event without Requisite Holders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Not triggered by a purchase of LLC interests. Would be triggered by a merger-based 100% buyout.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§3.3.3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creation or issuance of any security unless junior to the Preferred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Plain common: not triggered. Preferred-like shares or a conversion right for Ben: triggered, plus a charter amendment.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§3.3.5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repurchase of stock except (iii) service-provider repurchases or (iv) as approved by the Board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continuity-protection repurchase of Ben's shares is covered by (iv) if Board-approved. Note the LSA §7.6 also caps repurchases at $250K a year while the line is outstanding.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§3.3.7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debt over $300K aggregate without consent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$500K Thread line already exceeds this (presumably consented). Any new debt to fund the deal needs consent; a subordinated deferred payment to Ben counts as indebtedness.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§3.3.8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transaction with an officer or director, or an entity they control, unless arm's-length ordinary course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as an officer: the purchase agreement, put/call, Services Schedule, recruiting arrangement and employment terms should all be approved in the consent.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§3.3.9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subsidiary that is not wholly owned; no subsidiary equity issuance or disposal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The 70/30 structure itself.</w:t>
            </w:r>
            <w:r w:rsidDel="00000000" w:rsidR="00000000" w:rsidRPr="00000000">
              <w:rPr>
                <w:sz w:val="18"/>
                <w:szCs w:val="18"/>
                <w:vertAlign w:val="baseline"/>
                <w:rtl w:val="0"/>
              </w:rPr>
              <w:t xml:space="preserve"> Also covers any later admission of new Keystone members and any sale of the 70%.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§3.3.10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change to Board size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Not triggered by a Ben observer seat. Note the Board is two seats (Jon plus one vacancy) with a Felicis observer; there is no investor director.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§2.3.1 / §4.4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Deemed Liquidation Event definition; anti-dilution for issuances below the Conversion Price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Not triggered. Board must record the fair value of the Keystone interest received (§4.4.5(a)(ii)) as the consideration for the shares.</w:t>
            </w:r>
          </w:p>
        </w:tc>
      </w:tr>
    </w:tbl>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Consents and approvals needed – one package</w:t>
      </w:r>
    </w:p>
    <w:tbl>
      <w:tblPr>
        <w:tblStyle w:val="Table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Approval</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Source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Who</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Board approval of the acquisition, share issuance (with fair-value finding), Ben's employment and option grant, and the repurchase right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DGCL; charter §3.3.5(iv); IRA §5.3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(sole sitting director); fill the vacant seat or confirm one-director action is valid under the bylaws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Before signing definitive agreements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Requisite Holder consent: non-wholly-owned subsidiary (§3.3.9); related-party arrangements with Ben (§3.3.8); any debt or deferred payment (§3.3.7)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Charter §3.3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55% of Preferred: Felicis (46.8%) plus a16z (18.2%) or YC ES20 (14.3%)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Target: signed before the LOI goes to Ben, or LOI conditional on it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ROFO waiver on the issuance to Ben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IRA §4.1, §6.6(b)</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Company plus majority of Major Investor shares (Felicis)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Same consent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Confirmation that the $60M SAFE (if used as the reference) is within the 2025 authorization, and correction of the Kindergarten cap wording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2025 stockholder consent; SAFE instruments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Corey; Felicis/a16z if a new consent is needed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Before the Reference Valuation is fixed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Thread Bank: payoff letter and lien release, or written consent and amendment (Investment, acquisition, subsidiary co-borrower carve-out, RML covenant)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LSA §§6.10, 7.3, 7.4, 7.6, 7.7; §2.6 payoff letter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 Josh with Thread (Andrew Montgomery)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Before closing; status of the August 26 maturity to be confirmed this week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Adoption Agreement to the Voting Agreement (and ROFR &amp; Co-Sale as applicable)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Voting Agreement §7.1(b) (any new holder of ≥1%)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 his holdco</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At closing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Key Holder majority for any future drag-along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Voting Agreement §3.2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holds the majority of Key Holder shares; Bryan Beshore (24.5% FD) should be informed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n/a now</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Impact on the LOI (v13) – recommended changes for v14</w:t>
      </w:r>
    </w:p>
    <w:tbl>
      <w:tblPr>
        <w:tblStyle w:val="Table7"/>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059.2"/>
        <w:gridCol w:w="3556.8"/>
        <w:gridCol w:w="3744"/>
        <w:tblGridChange w:id="0">
          <w:tblGrid>
            <w:gridCol w:w="2059.2"/>
            <w:gridCol w:w="3556.8"/>
            <w:gridCol w:w="3744"/>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Where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Change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Proposed language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Background on Topkey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Correct the capital-raised and valuation statements to what the documents support.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"We have raised approximately $8.3 million to date across a priced seed round led by Felicis at a $22 million post-money valuation and subsequent SAFEs. Our last completed SAFEs were at a $50 million post-money valuation[; a further SAFE at a $60 million post-money valuation is expected to close before this Letter is signed]."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3(b)(i) Shares and ownership</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Use $50M as the Reference Valuation unless the $60M SAFE has closed and been authorized; state the approximate share count.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"…divided by the price per share implied by a $[50] million post-money valuation (the "Reference Valuation"), or approximately [428,000] shares, representing approximately [2.8]% of Topkey on a fully diluted basis after conversion of all outstanding SAFEs at their valuation caps and including the option pool."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3(b)(ii) Class and issuance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the preference-stack fact so the common/preferred explanation is in the letter and accurate.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shares are common stock, issued in full at closing. They rank behind Topkey's preferred stock (a 1x, non-participating preference of approximately $6.7 million) in the same way as the common stock held by Topkey's founders and employees, and will dilute on the same basis in future financings."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3(b)(iv) Holder rights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Reflect the actual documents Ben will sign.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"…will execute an adoption agreement to Topkey's Voting Agreement (including its drag-along provisions) and Right of First Refusal and Co-Sale Agreement, and will be bound by the market stand-off in Topkey's Investors' Rights Agreement, in each case on the same terms as Topkey's founders."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3(b)(v) Board observer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Fit the actual board (two seats, Felicis observer).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Keep as drafted; add "Topkey's board currently consists of [two] directors and one investor observer."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3(b)(vi) Securities matters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Specify the disclosure package from the data room.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will provide Ben with its financial statements through [August 31, 2026], its fully diluted capitalization table, its restated certificate of incorporation, a schedule of outstanding SAFEs and warrants, and a summary of its credit facility…"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3(b)(vii) Existing SAFEs and investors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Name the consents.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"Before definitive agreements are signed, Topkey will obtain (i) the consent of the holders of at least 55% of its preferred stock to the transaction, to Keystone being a majority-owned subsidiary and to the arrangements with Ben described in this Letter, and (ii) a waiver of the right of first offer under its Investors' Rights Agreement in respect of the shares issued to Ben."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4(g) Payment on put/call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Reflect debt-document reality.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"…subject to the terms of any credit facility of Topkey then in effect, which Topkey will not permit to prevent payment in Topkey shares."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Exhibit A – new row "Keystone credit support"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will ask for this once he sees the Thread lien; put it in first.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"Keystone will not guarantee, or grant liens over its assets to secure, indebtedness of Topkey without the approval of both members. Topkey may pledge its own membership interest."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 Conditions to Closing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the two hard conditions.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 payoff and release of, or the written consent of the lender under, Topkey's credit facility with Thread Bank, such that Keystone is not required to become a co-borrower or guarantor or to grant liens over its assets; and (g) receipt of the stockholder consents and waivers described in Section 3(b)(vii)."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 Timeline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a consents workstream.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"[October]: investor briefings, stockholder consent and Thread Bank payoff or consent."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7(h) Reps &amp; indemnification – Topkey side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counsel will ask for buyer reps.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"Topkey will give customary representations regarding its capitalization, the valid issuance of the shares, its financial statements and the absence of undisclosed liabilities."</w:t>
            </w:r>
          </w:p>
        </w:tc>
      </w:tr>
    </w:tbl>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Impact on the Offer one-pager (v15)</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Topkey Equity / Shares &amp; Ownership:</w:t>
      </w:r>
      <w:r w:rsidDel="00000000" w:rsidR="00000000" w:rsidRPr="00000000">
        <w:rPr>
          <w:rFonts w:ascii="Arial Unicode MS" w:cs="Arial Unicode MS" w:eastAsia="Arial Unicode MS" w:hAnsi="Arial Unicode MS"/>
          <w:rtl w:val="0"/>
        </w:rPr>
        <w:t xml:space="preserve"> $[50M] reference, ≈ [428,000] shares, ≈ [2.8]% fully diluted after SAFE conversion; note the $6.7M 1x preference stack.</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 row – Approvals:</w:t>
      </w:r>
      <w:r w:rsidDel="00000000" w:rsidR="00000000" w:rsidRPr="00000000">
        <w:rPr>
          <w:rtl w:val="0"/>
        </w:rPr>
        <w:t xml:space="preserve"> "Board approval; consent of 55% of Topkey's preferred stockholders; ROFO waiver; Thread Bank payoff or consent."</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 row – Topkey snapshot (for Ben's reverse diligence):</w:t>
      </w:r>
      <w:r w:rsidDel="00000000" w:rsidR="00000000" w:rsidRPr="00000000">
        <w:rPr>
          <w:rFonts w:ascii="Arial Unicode MS" w:cs="Arial Unicode MS" w:eastAsia="Arial Unicode MS" w:hAnsi="Arial Unicode MS"/>
          <w:rtl w:val="0"/>
        </w:rPr>
        <w:t xml:space="preserve"> revenue run-rate ≈ $3.1M (SaaS ARR $3.06M at June), 320 customers, NRR 213%, cash $2.5M with $0.5M line, 17 FTEs.</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 on put/call:</w:t>
      </w:r>
      <w:r w:rsidDel="00000000" w:rsidR="00000000" w:rsidRPr="00000000">
        <w:rPr>
          <w:rtl w:val="0"/>
        </w:rPr>
        <w:t xml:space="preserve"> add "subject to Topkey's credit facility; payable in shares in all cases."</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Decisions for Jon and Corey</w:t>
      </w:r>
    </w:p>
    <w:tbl>
      <w:tblPr>
        <w:tblStyle w:val="Table8"/>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2433.6000000000004"/>
        <w:gridCol w:w="3905.5999999999995"/>
        <w:gridCol w:w="2620.7999999999997"/>
        <w:tblGridChange w:id="0">
          <w:tblGrid>
            <w:gridCol w:w="400"/>
            <w:gridCol w:w="2433.6000000000004"/>
            <w:gridCol w:w="3905.5999999999995"/>
            <w:gridCol w:w="2620.7999999999997"/>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Decision</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Options</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Recommendation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Thread Bank facility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Pay off the $500K and terminate the LSA before closing; (b) keep the line and obtain consent plus a §6.10 carve-out for Keystone; (c) refinance with a new lender that accepts a minority-owned subsidiary.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(a).</w:t>
            </w:r>
            <w:r w:rsidDel="00000000" w:rsidR="00000000" w:rsidRPr="00000000">
              <w:rPr>
                <w:sz w:val="18"/>
                <w:szCs w:val="18"/>
                <w:vertAlign w:val="baseline"/>
                <w:rtl w:val="0"/>
              </w:rPr>
              <w:t xml:space="preserve"> The line funds a charge-card program that is being sunset; the receivables and reserve balances released on wind-down roughly cover the payoff; and it removes the lien, the co-borrower problem, the RML covenant and the $250K repurchase cap in one step. Confirm the post-August 26 status first.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Reference Valuation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$50M – last completed SAFEs; (b) $60M – only if the Burkland SAFE closes and Corey confirms it is authorized.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(a)</w:t>
            </w:r>
            <w:r w:rsidDel="00000000" w:rsidR="00000000" w:rsidRPr="00000000">
              <w:rPr>
                <w:sz w:val="18"/>
                <w:szCs w:val="18"/>
                <w:vertAlign w:val="baseline"/>
                <w:rtl w:val="0"/>
              </w:rPr>
              <w:t xml:space="preserve"> as the opening position. It is documented, it lines up with the Kindergarten fix, and it gives Ben ~0.4 points more ownership, which is a cheap concession that removes the "unsupported number" objection.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Consent strategy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One omnibus written consent (acquisition/§3.3.9, related-party approvals, ROFO waiver) signed by Felicis and a16z before the LOI is signed; (b) sign the LOI conditional on consents.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(a)</w:t>
            </w:r>
            <w:r w:rsidDel="00000000" w:rsidR="00000000" w:rsidRPr="00000000">
              <w:rPr>
                <w:sz w:val="18"/>
                <w:szCs w:val="18"/>
                <w:vertAlign w:val="baseline"/>
                <w:rtl w:val="0"/>
              </w:rPr>
              <w:t xml:space="preserve"> if Felicis and a16z can turn it in two weeks; otherwise (b) with the LOI language in §6. Jon should brief the new Felicis partner and a16z before either. Ask whether YC ES20 would sign as a backup to a16z.</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equity protection fallback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Parity with SAFE holders (now known to need a charter amendment and 55% consent); (b) limited common ratchet ending at the first priced round; (c) none.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Open with (c), fall back to (b).</w:t>
            </w:r>
            <w:r w:rsidDel="00000000" w:rsidR="00000000" w:rsidRPr="00000000">
              <w:rPr>
                <w:sz w:val="18"/>
                <w:szCs w:val="18"/>
                <w:vertAlign w:val="baseline"/>
                <w:rtl w:val="0"/>
              </w:rPr>
              <w:t xml:space="preserve"> Retire (a). Update the Series A decisions document accordingly.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timing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$650K at close as drafted; (b) $450–500K at close plus $150–200K deferred and subordinated (permitted under the LSA and, if the line is paid off, unrestricted); (c) reduce cash and increase stock.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(a)</w:t>
            </w:r>
            <w:r w:rsidDel="00000000" w:rsidR="00000000" w:rsidRPr="00000000">
              <w:rPr>
                <w:sz w:val="18"/>
                <w:szCs w:val="18"/>
                <w:vertAlign w:val="baseline"/>
                <w:rtl w:val="0"/>
              </w:rPr>
              <w:t xml:space="preserve"> if the Thread payoff releases the expected $350–400K; otherwise </w:t>
            </w:r>
            <w:r w:rsidDel="00000000" w:rsidR="00000000" w:rsidRPr="00000000">
              <w:rPr>
                <w:b w:val="1"/>
                <w:bCs w:val="1"/>
                <w:sz w:val="18"/>
                <w:szCs w:val="18"/>
                <w:vertAlign w:val="baseline"/>
                <w:rtl w:val="0"/>
              </w:rPr>
              <w:t xml:space="preserve">(b)</w:t>
            </w:r>
            <w:r w:rsidDel="00000000" w:rsidR="00000000" w:rsidRPr="00000000">
              <w:rPr>
                <w:sz w:val="18"/>
                <w:szCs w:val="18"/>
                <w:vertAlign w:val="baseline"/>
                <w:rtl w:val="0"/>
              </w:rPr>
              <w:t xml:space="preserve">. Do not raise the stock component: it worsens the 409A gap and Ben's tax position.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Disclosure to Ben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Full data-room-based package (financials through August, cap table, charter, SAFE and warrant schedule, Thread summary, the ARR bridge); (b) summary only.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(a)</w:t>
            </w:r>
            <w:r w:rsidDel="00000000" w:rsidR="00000000" w:rsidRPr="00000000">
              <w:rPr>
                <w:sz w:val="18"/>
                <w:szCs w:val="18"/>
                <w:vertAlign w:val="baseline"/>
                <w:rtl w:val="0"/>
              </w:rPr>
              <w:t xml:space="preserve">, with the ARR bridge and the Thread payoff status resolved first. Ben's advisors will ask for exactly these documents, and a complete package is what makes the "same as our founders" common-stock story credible.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Board seat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Leave the vacant Common Director seat open; (b) fill it before closing.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Confirm with Corey that a single director can validly approve the transaction under the bylaws; if not, fill the seat before the Board approval.</w:t>
            </w:r>
          </w:p>
        </w:tc>
      </w:tr>
    </w:tbl>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Next steps and owners</w:t>
      </w:r>
    </w:p>
    <w:tbl>
      <w:tblPr>
        <w:tblStyle w:val="Table9"/>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
        <w:gridCol w:w="5896.800000000001"/>
        <w:gridCol w:w="1497.6"/>
        <w:gridCol w:w="1497.6"/>
        <w:tblGridChange w:id="0">
          <w:tblGrid>
            <w:gridCol w:w="468"/>
            <w:gridCol w:w="5896.800000000001"/>
            <w:gridCol w:w="1497.6"/>
            <w:gridCol w:w="1497.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Action</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Owner</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By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Confirm the status of the Thread line after its August 26, 2026 maturity (extension, payoff plan or default) and whether the FY2025 audit and monthly compliance certificates are current.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 Josh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This week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Decide payoff vs consent (Decision 1); if payoff, request a payoff letter under LSA §2.6 and a wind-down timeline for the reserve and operational balances.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 / Josh / Corey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Within 2 weeks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Brief the new Felicis partner and a16z on the Keystone partnership; ask for their consent and ROFO waiver; identify YC as the backup 55% signatory.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Before the LOI is sent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Draft the omnibus stockholder consent (using the 7/1/25 SAFE consent as the template) covering §3.3.9, §3.3.8, §3.3.7 (if any deferred payment), the ROFO waiver and, if needed, ratification of the $60M SAFE; draft Board resolutions with the fair-value finding for the shares.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Corey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Within 2 weeks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Confirm the current 409A ($0.17 vs $0.22), commission the update as of the closing date, and get the appraiser's indicative value for Ben's plain common.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Josh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Before the walk-through call with Ben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Fix the Kindergarten "pre-money cap" wording; confirm whether the Burkland $60M SAFE is authorized under the 2025 consent; produce a SAFE-conversion and post-issuance cap table (including Thread warrants) at $50M and $60M.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Corey / Josh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Within 2 weeks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Prepare the ARR bridge (investor-update ARR to GAAP revenue) and the reverse-diligence package for Ben.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Josh / Frank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Before the disclosure package goes out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Update LOI v13 → v14 and Offer v15 → v16 with the §6 and §7 changes; update the Series A decisions document (retire the parity fallback).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Frank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On Jon's go-ahead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Request the missing items: Founder Voting Agreement, ROFR &amp; Co-Sale Agreement, current 409A report, Thread post-August documents, Burkland SAFE, FY2025 financials/audit status, Bryan Beshore's role.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Arial Unicode MS" w:cs="Arial Unicode MS" w:eastAsia="Arial Unicode MS" w:hAnsi="Arial Unicode MS"/>
                <w:sz w:val="18"/>
                <w:szCs w:val="18"/>
                <w:vertAlign w:val="baseline"/>
                <w:rtl w:val="0"/>
              </w:rPr>
              <w:t xml:space="preserve">Frank → Jon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This week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Re-run the scenario model with 12–15 months of post-close runway, a $50M reference and the 409A range for Ben's closing tax.</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Frank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After items 1 and 5</w:t>
            </w:r>
          </w:p>
        </w:tc>
      </w:tr>
    </w:tbl>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Other observations worth knowing</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Board.</w:t>
      </w:r>
      <w:r w:rsidDel="00000000" w:rsidR="00000000" w:rsidRPr="00000000">
        <w:rPr>
          <w:rtl w:val="0"/>
        </w:rPr>
        <w:t xml:space="preserve"> The Voting Agreement fixes the Board at two Common Directors; one seat is vacant. Felicis has observer rights only. A Ben observer seat is easy to grant but sits at a two-person board.</w:t>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Bookkeeping exclusivity.</w:t>
      </w:r>
      <w:r w:rsidDel="00000000" w:rsidR="00000000" w:rsidRPr="00000000">
        <w:rPr>
          <w:rtl w:val="0"/>
        </w:rPr>
        <w:t xml:space="preserve"> The investor update says Topkey "partnered with another bookkeeping firm to manage day-to-day workflows." The LOI's exclusivity for Keystone and the 12-month transition of existing referral arrangements need to match the actual contract with that firm (the Quantum/Amanda SOW noted in the pending items).</w:t>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QSBS covenant.</w:t>
      </w:r>
      <w:r w:rsidDel="00000000" w:rsidR="00000000" w:rsidRPr="00000000">
        <w:rPr>
          <w:rtl w:val="0"/>
        </w:rPr>
        <w:t xml:space="preserve"> IRA §5.4 obliges Topkey to use commercially reasonable efforts not to disqualify the Series Seed as QSBS. Adding a services subsidiary is exactly the kind of action that should be checked against §1202's active-business test before closing; this is already on the tax-counsel list.</w:t>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Reward-points liability.</w:t>
      </w:r>
      <w:r w:rsidDel="00000000" w:rsidR="00000000" w:rsidRPr="00000000">
        <w:rPr>
          <w:rtl w:val="0"/>
        </w:rPr>
        <w:t xml:space="preserve"> $476K accrued at August 31 against the charge-card program. Not a Keystone issue, but it belongs in Ben's disclosure package and in the Thread wind-down plan.</w:t>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 rights.</w:t>
      </w:r>
      <w:r w:rsidDel="00000000" w:rsidR="00000000" w:rsidRPr="00000000">
        <w:rPr>
          <w:rtl w:val="0"/>
        </w:rPr>
        <w:t xml:space="preserve"> Felicis and a16z are Major Investors with quarterly financial and inspection rights (IRA §3), so they will see consolidated Keystone results from the first quarter after closing; the two-segment reporting recommended earlier should be in place from month one.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widowControl w:val="0"/>
        <w:spacing w:line="32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4"/>
      <w:szCs w:val="3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20" w:lineRule="auto"/>
    </w:pPr>
    <w:rPr>
      <w:b w:val="1"/>
      <w:bCs w:val="1"/>
      <w:i w:val="0"/>
      <w:iCs w:val="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