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Keystone LOI v10 / Offer v12 – Recommended Changes by 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to change regardless of structure, what to change for the Partnership version, what to change for the 100% Buyout version, and what belongs in the definitive documents instead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Prepared by AMB Advisory Services LLC for Jon Sukhia / Topkey | September 24, 2026 | Confidential – internal working draft, not for Ben or Keystone.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 documents: Keystone_LOI_v10.docx (dated September 30, 2026, 100% acquisition, $500K cash / $2.5M stock), Keystone_Offer_v12.docx (one-page summary of the same), Keystone_Offer_Scenario_Analysis.pdf (Partnership 70/30 at $650K cash / $1.45M stock, no earnout; Buyout with $500K Year-3 earnout), Offer Review v3, and the Sept 3–24 call transcripts. Companion report: "Offer Structures Compared – Partnership vs. 100% Buyout" (same folder).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Rule="auto"/>
        <w:rPr>
          <w:color w:val="444444"/>
          <w:sz w:val="18"/>
          <w:szCs w:val="18"/>
        </w:rPr>
      </w:pPr>
      <w:r w:rsidDel="00000000" w:rsidR="00000000" w:rsidRPr="00000000">
        <w:rPr>
          <w:color w:val="444444"/>
          <w:sz w:val="18"/>
          <w:szCs w:val="18"/>
          <w:rtl w:val="0"/>
        </w:rPr>
        <w:t xml:space="preserve">Suggested language is drafting guidance for Frank and Corey, not final legal text. Tax statements must be confirmed by tax counsel before they appear in a letter Ben signs.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LOI v10 and Offer v12 describe a 100% buyout with no earnout and a tax-deferred equity component. The model now shows two different deals: a partnership (70/30, $650K cash, $1.45M stock, no earnout) and a buyout with a $500K Year-3 cash earnout. Whichever Jon chooses, the documents need a single, consistent version before they go to Ben, because the tax sentence, the summary table, the escrow figure and the "what changes after closing" section are each wrong for at least one of the two structures – and Ben has told us he will put the letter through an AI review before he responds.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categories of change: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Regardless of structure (Section 2)</w:t>
      </w:r>
      <w:r w:rsidDel="00000000" w:rsidR="00000000" w:rsidRPr="00000000">
        <w:rPr>
          <w:rtl w:val="0"/>
        </w:rPr>
        <w:t xml:space="preserve"> – 19 items, mostly equity terms, dates, drafting conflicts and facts that have changed since v10 was drafted (Keystone's entity form, the pending Burkland SAFE, the January closing).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Partnership version (Section 3)</w:t>
      </w:r>
      <w:r w:rsidDel="00000000" w:rsidR="00000000" w:rsidRPr="00000000">
        <w:rPr>
          <w:rtl w:val="0"/>
        </w:rPr>
        <w:t xml:space="preserve"> – rebuild the economics and structure sections, replace the tax sentence, add a two-page operating-agreement term sheet as an exhibit.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Buyout version (Section 4)</w:t>
      </w:r>
      <w:r w:rsidDel="00000000" w:rsidR="00000000" w:rsidRPr="00000000">
        <w:rPr>
          <w:rtl w:val="0"/>
        </w:rPr>
        <w:t xml:space="preserve"> – decide whether the earnout is in or out and document it properly; fix the reorganization form; keep the tax-deferral promise only if counsel can deliver 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Section 5 lists what to keep out of the LOI and raise verbally or in the purchase agreement; Section 6 is a one-page "before you send it" checklist.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Changes to make regardless of structure</w:t>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98.90896692806"/>
        <w:gridCol w:w="2053.583361745653"/>
        <w:gridCol w:w="4107.166723491306"/>
        <w:gridCol w:w="1400.1704739174907"/>
        <w:gridCol w:w="1400.1704739174907"/>
        <w:tblGridChange w:id="0">
          <w:tblGrid>
            <w:gridCol w:w="398.90896692806"/>
            <w:gridCol w:w="2053.583361745653"/>
            <w:gridCol w:w="4107.166723491306"/>
            <w:gridCol w:w="1400.1704739174907"/>
            <w:gridCol w:w="1400.1704739174907"/>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Current text (LOI v10 / Offer v12)</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Recommended change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Why</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Where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Reference valuation: "[Topkey's most recent post-money valuation of $60M]"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Use </w:t>
            </w:r>
            <w:r w:rsidDel="00000000" w:rsidR="00000000" w:rsidRPr="00000000">
              <w:rPr>
                <w:b w:val="1"/>
                <w:bCs w:val="1"/>
                <w:sz w:val="18"/>
                <w:szCs w:val="18"/>
                <w:vertAlign w:val="baseline"/>
                <w:rtl w:val="0"/>
              </w:rPr>
              <w:t xml:space="preserve">$50M</w:t>
            </w:r>
            <w:r w:rsidDel="00000000" w:rsidR="00000000" w:rsidRPr="00000000">
              <w:rPr>
                <w:sz w:val="18"/>
                <w:szCs w:val="18"/>
                <w:vertAlign w:val="baseline"/>
                <w:rtl w:val="0"/>
              </w:rPr>
              <w:t xml:space="preserve"> (the last closed SAFE) as the reference, or "the post-money valuation of Topkey's next SAFE or priced round closed before signing, currently expected at $60M." Do not state $60M as a completed valuation until the Burkland SAFE has actually closed at that number and Josh can show the paper.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Ben's counsel or CPA will ask for the document behind the number; the only closed paper today says $50M; the 409A says $10.5M. An unsupported figure in a signed letter is a credibility problem and a retrade risk.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3(b)(i), 3(b)(iii); Offer "Ownership", "Price Protection"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Ownership "approximately [4.0]% ... on a post-closing basis"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 "calculated on a fully diluted basis assuming conversion of all outstanding SAFEs and convertible notes at their applicable caps and inclusion of the existing option pool."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 agreed on Sept 23 that Ben's percentage should be post-SAFE conversion; the model already nets the SAFEs. Writing it removes the single most likely "you didn't tell me about the SAFEs" complaint.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3(b)(i); Offer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Price protection floor "[$40M] pre-money"; treatment on a sale of Topkey "[to be discussed]"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Floor </w:t>
            </w:r>
            <w:r w:rsidDel="00000000" w:rsidR="00000000" w:rsidRPr="00000000">
              <w:rPr>
                <w:b w:val="1"/>
                <w:bCs w:val="1"/>
                <w:sz w:val="18"/>
                <w:szCs w:val="18"/>
                <w:vertAlign w:val="baseline"/>
                <w:rtl w:val="0"/>
              </w:rPr>
              <w:t xml:space="preserve">$45–50M</w:t>
            </w:r>
            <w:r w:rsidDel="00000000" w:rsidR="00000000" w:rsidRPr="00000000">
              <w:rPr>
                <w:sz w:val="18"/>
                <w:szCs w:val="18"/>
                <w:vertAlign w:val="baseline"/>
                <w:rtl w:val="0"/>
              </w:rPr>
              <w:t xml:space="preserve">. Add: the protection applies to the price implied in any sale of Topkey during the protection period, and </w:t>
            </w:r>
            <w:r w:rsidDel="00000000" w:rsidR="00000000" w:rsidRPr="00000000">
              <w:rPr>
                <w:b w:val="1"/>
                <w:bCs w:val="1"/>
                <w:sz w:val="18"/>
                <w:szCs w:val="18"/>
                <w:vertAlign w:val="baseline"/>
                <w:rtl w:val="0"/>
              </w:rPr>
              <w:t xml:space="preserve">terminates on the earlier of the first Qualified Financing, a change of control, or 36 months</w:t>
            </w:r>
            <w:r w:rsidDel="00000000" w:rsidR="00000000" w:rsidRPr="00000000">
              <w:rPr>
                <w:sz w:val="18"/>
                <w:szCs w:val="18"/>
                <w:vertAlign w:val="baseline"/>
                <w:rtl w:val="0"/>
              </w:rPr>
              <w:t xml:space="preserve">. State that any top-up shares are issued immediately before (and dilute the holders immediately before) the Qualified Financing.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Series A lead will insist the ratchet ends at their round and dilutes existing holders; saying so now avoids a term-sheet fight later. Leaving the sale case "to be discussed" is an invitation to argue.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3(b)(iii); Offer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 may repurchase the </w:t>
            </w:r>
            <w:r w:rsidDel="00000000" w:rsidR="00000000" w:rsidRPr="00000000">
              <w:rPr>
                <w:b w:val="1"/>
                <w:bCs w:val="1"/>
                <w:sz w:val="18"/>
                <w:szCs w:val="18"/>
                <w:vertAlign w:val="baseline"/>
                <w:rtl w:val="0"/>
              </w:rPr>
              <w:t xml:space="preserve">unvested</w:t>
            </w:r>
            <w:r w:rsidDel="00000000" w:rsidR="00000000" w:rsidRPr="00000000">
              <w:rPr>
                <w:sz w:val="18"/>
                <w:szCs w:val="18"/>
                <w:vertAlign w:val="baseline"/>
                <w:rtl w:val="0"/>
              </w:rPr>
              <w:t xml:space="preserve"> portion of his shares"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Replace "unvested portion" with "a declining portion of the shares (100% at closing, reducing ratably to 0% at month 36), which Topkey may repurchase at fair market value." Remove all uses of "vest"/"unvested".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Vesting language risks §83 compensation treatment on shares Ben received for his company, which would tax him as ordinary income and, in the partnership, destroy QSBS. Same economics, safer words.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3(b)(iv); Offer "Continuity Protection"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Good Reason "includes a material change to Ben's role, to Keystone's brand or to Keystone's tools made without his consent" vs. bracketed "[Keystone begins operating under the Topkey brand]" and "tools migrate to Topkey on a jointly planned, phased timeline"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Resolve the contradiction. Recommended: Good Reason covers a material reduction in role, title, reporting line, base salary or budget authority. Brand: "Keystone, a Topkey company" for at least 24 months; any further rebrand is a joint decision. Tools: migration follows the written protocol in Section 5(d) of the LOI (readiness criteria, client-by-client sign-off by Ben, no migrations during January–February 1099 season). Delete brand and tools from the Good Reason definition.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As drafted, Topkey cannot rebrand or migrate tools without Ben's consent for 36 months without triggering full acceleration – an economic veto over the two things Topkey is buying the company to do. The migration protocol gives Ben the real protection he asked for on Sept 17 and 24 ("no cutover on February 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3(b)(iv), 5 "What Changes After Closing"; Offer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Holder rights "same rights ... as other [common] shareholders"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Keep common, but add one principle: "Ben's shares will rank no lower than the shares into which the outstanding SAFEs convert" </w:t>
            </w:r>
            <w:r w:rsidDel="00000000" w:rsidR="00000000" w:rsidRPr="00000000">
              <w:rPr>
                <w:i w:val="1"/>
                <w:iCs w:val="1"/>
                <w:sz w:val="18"/>
                <w:szCs w:val="18"/>
                <w:vertAlign w:val="baseline"/>
                <w:rtl w:val="0"/>
              </w:rPr>
              <w:t xml:space="preserve">or</w:t>
            </w:r>
            <w:r w:rsidDel="00000000" w:rsidR="00000000" w:rsidRPr="00000000">
              <w:rPr>
                <w:sz w:val="18"/>
                <w:szCs w:val="18"/>
                <w:vertAlign w:val="baseline"/>
                <w:rtl w:val="0"/>
              </w:rPr>
              <w:t xml:space="preserve"> value the shares for tax at 409A fair market value (see Section 3 item 6). Confirm the bracket with Corey and remove it.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is being priced as if he were buying preferred and receiving common; either give him parity on conversion or acknowledge the discount in the tax value. Do both and the point is fully answered.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3(b)(v)</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Board observer right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Keep, but limit to "for so long as Ben is employed by Topkey or an affiliate," and add "subject to the company's right to exclude the observer where required to preserve privilege or by a financing agreement."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Standard investor requirement at the Series 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3(b)(vi)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Timeline: December 18 sign, "December 31, 2026 effective closing date"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Sign and fund escrow December 18; </w:t>
            </w:r>
            <w:r w:rsidDel="00000000" w:rsidR="00000000" w:rsidRPr="00000000">
              <w:rPr>
                <w:b w:val="1"/>
                <w:bCs w:val="1"/>
                <w:sz w:val="18"/>
                <w:szCs w:val="18"/>
                <w:vertAlign w:val="baseline"/>
                <w:rtl w:val="0"/>
              </w:rPr>
              <w:t xml:space="preserve">effective date January 2, 2027</w:t>
            </w:r>
            <w:r w:rsidDel="00000000" w:rsidR="00000000" w:rsidRPr="00000000">
              <w:rPr>
                <w:sz w:val="18"/>
                <w:szCs w:val="18"/>
                <w:vertAlign w:val="baseline"/>
                <w:rtl w:val="0"/>
              </w:rPr>
              <w:t xml:space="preserve">. Add to the tax section: "The parties intend the transaction to be effective in the 2027 tax year."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Moves Ben's entire closing gain into 2027; federal tax not due until April 2028 (with a prior-year safe-harbor estimate). This is the cheapest liquidity lever in the deal and costs Topkey nothing.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8; Offer (add a timeline line)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Escrow "10% of the cash consideration ($50,000)"; indemnity period "[X] months"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Escrow = 10% of cash at close (state the number that matches the chosen structure: $65K partnership / $50K buyout). Indemnity: cap </w:t>
            </w:r>
            <w:r w:rsidDel="00000000" w:rsidR="00000000" w:rsidRPr="00000000">
              <w:rPr>
                <w:b w:val="1"/>
                <w:bCs w:val="1"/>
                <w:sz w:val="18"/>
                <w:szCs w:val="18"/>
                <w:vertAlign w:val="baseline"/>
                <w:rtl w:val="0"/>
              </w:rPr>
              <w:t xml:space="preserve">10% of the purchase price</w:t>
            </w:r>
            <w:r w:rsidDel="00000000" w:rsidR="00000000" w:rsidRPr="00000000">
              <w:rPr>
                <w:sz w:val="18"/>
                <w:szCs w:val="18"/>
                <w:vertAlign w:val="baseline"/>
                <w:rtl w:val="0"/>
              </w:rPr>
              <w:t xml:space="preserve">, basket </w:t>
            </w:r>
            <w:r w:rsidDel="00000000" w:rsidR="00000000" w:rsidRPr="00000000">
              <w:rPr>
                <w:b w:val="1"/>
                <w:bCs w:val="1"/>
                <w:sz w:val="18"/>
                <w:szCs w:val="18"/>
                <w:vertAlign w:val="baseline"/>
                <w:rtl w:val="0"/>
              </w:rPr>
              <w:t xml:space="preserve">0.75%</w:t>
            </w:r>
            <w:r w:rsidDel="00000000" w:rsidR="00000000" w:rsidRPr="00000000">
              <w:rPr>
                <w:sz w:val="18"/>
                <w:szCs w:val="18"/>
                <w:vertAlign w:val="baseline"/>
                <w:rtl w:val="0"/>
              </w:rPr>
              <w:t xml:space="preserve">, general survival </w:t>
            </w:r>
            <w:r w:rsidDel="00000000" w:rsidR="00000000" w:rsidRPr="00000000">
              <w:rPr>
                <w:b w:val="1"/>
                <w:bCs w:val="1"/>
                <w:sz w:val="18"/>
                <w:szCs w:val="18"/>
                <w:vertAlign w:val="baseline"/>
                <w:rtl w:val="0"/>
              </w:rPr>
              <w:t xml:space="preserve">15 months</w:t>
            </w:r>
            <w:r w:rsidDel="00000000" w:rsidR="00000000" w:rsidRPr="00000000">
              <w:rPr>
                <w:sz w:val="18"/>
                <w:szCs w:val="18"/>
                <w:vertAlign w:val="baseline"/>
                <w:rtl w:val="0"/>
              </w:rPr>
              <w:t xml:space="preserve">; fundamental and tax reps survive to statute; claims against escrow first, then </w:t>
            </w:r>
            <w:r w:rsidDel="00000000" w:rsidR="00000000" w:rsidRPr="00000000">
              <w:rPr>
                <w:b w:val="1"/>
                <w:bCs w:val="1"/>
                <w:sz w:val="18"/>
                <w:szCs w:val="18"/>
                <w:vertAlign w:val="baseline"/>
                <w:rtl w:val="0"/>
              </w:rPr>
              <w:t xml:space="preserve">set-off against the Topkey shares</w:t>
            </w:r>
            <w:r w:rsidDel="00000000" w:rsidR="00000000" w:rsidRPr="00000000">
              <w:rPr>
                <w:sz w:val="18"/>
                <w:szCs w:val="18"/>
                <w:vertAlign w:val="baseline"/>
                <w:rtl w:val="0"/>
              </w:rPr>
              <w:t xml:space="preserve"> at their issue price. Add a special indemnity for offshore contractor classification capped at the escrow plus set-off.</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10%-of-cash escrow ($50–65K) is too small to matter on its own; the set-off against shares is what actually protects Topkey and is normal when most of the price is stock. Naming cap/basket/survival now prevents the standard PA fight.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6(h)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6(f) "Whether the S election sits on a limited liability company or on a converted corporation ... the parties will confirm this before definitive agreements"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Replace with the confirmed fact: "Keystone is a [New Hampshire] limited liability company taxed as an S corporation. The parties intend to implement the transaction through a pre-closing F reorganization of Keystone (formation of a holding company by Ben, contribution of Keystone, QSub election) followed by [the sale of 70% / 100%] of the membership interests of Keystone LLC to Topkey."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confirmed on Sept 24 that Keystone is an LLC taxed as an S corp. The open item can be closed, and the F-reorg is needed in the partnership and in any taxable buyout route.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6(f); Offer "Tax Treatment"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Tax treatment: "the equity portion of the consideration is tax-deferred to Ben"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Structure-specific – see Sections 3 and 4. In no version should the letter promise tax deferral without counsel's sign-off. Add in both: "The parties will jointly engage tax counsel, will agree the tax value of the Topkey shares by reference to an independent valuation, and will cooperate on Ben's eligibility for Section 1202 treatment and on any New Hampshire election needed to recognize Topkey's basis step-up."</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sentence is simply false for the partnership and is only true for one of three buyout routes.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2; Offer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Background: "[approximately X] property management companies ... [approximately $8 million] ... [$50 million post-money]"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Fill in from Jon: ~325 companies, ~[X] properties, capital raised, last SAFE $50M, "and a further SAFE in process at $60M" only if signed. Remove all brackets.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will read a letter full of brackets as unfinished.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Background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Growth support: "Keystone becomes Topkey's exclusive bookkeeping partner for platform customers, and Topkey winds down its existing third-party bookkeeping referral arrangements within 12 months"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Keep the exclusivity commitment but soften the wind-down to "transitions its existing third-party bookkeeping referral arrangements to Keystone over 12 months where the client agrees" and add a non-binding referral intention: "Topkey's planning assumption is that it can refer on the order of one new bookkeeping client per month to Keystone." Confirm with Darren how the Amanda/Quantum rev-share SOWs can be transitioned.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model's 12 clients a year is the single assumption Ben will test hardest; putting a planning number in the letter (clearly non-binding) shows the thinking. The current wind-down language may commit Topkey to breaking existing SOWs.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6(a)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Existing Topkey relationship: "Keystone's current Topkey subscriptions become intercompany arrangements ... Client-facing pricing continues unchanged"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Buyout: fine as is. Partnership: replace with "Keystone's Topkey subscriptions continue at [current pricing / an agreed intercompany rate] under a services schedule to be attached to the operating agreement; client-facing pricing is unchanged at closing."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In the partnership every intercompany dollar moves value between the 70/30 pool and Topkey; it must be priced.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6(b)</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Related-party arrangements: recruiting company "charging Keystone no recruiting fee"; "existing related-party arrangements to continue on their current economic terms"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State the arm's-length principle: "Ben's recruiting company will continue to source hires for Keystone on terms no less favorable to Keystone than today; the parties will document the arrangement, and any new or modified related-party arrangement requires Topkey approval." Remove "[name to be confirmed]" once known.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Free services from a Ben affiliate are a hidden subsidy (and a hidden dependency); document rather than assume.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6(e)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Offshore team: "no change to the current model is contemplated at closing"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Keep, and add: "The parties will agree, before signing definitive agreements, a go-forward documentation and compliance approach for the offshore team, and a special indemnity for pre-closing classification matters (see 6(h))."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Both Josh and Jon want the exposure sized and allocated before, not after, closing; it will also be a Series A diligence item.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6(d)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Banking and payments: "[Keystone operating accounts move to Topkey's banking platform.]"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Unbracket, but make it conditional: "on a timeline agreed in the migration protocol; client trust accounts move only after Ben's written readiness acceptance."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Trust accounts are the one place a migration error is catastrophic (Jon's own $20K payout error this week is the example). Ben will insist; better to offer.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5; Offer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Ben's compensation: $200K base + up to $50K bonus "based on achieving the mutually agreed upon annual budget and KPIs"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Keep the $250K target but make the bonus a sliding scale (50% at threshold, 100% at target, up to 150% for outperformance) on two named metrics: net new client revenue and client-lead/accounting-manager retention. Add: "Ben will be eligible for Topkey's equity incentive plan on the same basis as other senior leaders." Delete the "[5]-year" bracket – use 3 years with automatic annual renewals.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flat "up to $50K" reads as discretionary; Ben will want to see how he earns it. A five-year fixed term is unusual and hard to enforce against an employee; three years plus renewals is standard and easier to defend. The option grant costs little and increases his Topkey-level alignment in the partnership.</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4; Offer "Ben's Role &amp; Compensation"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Pricing approval "more than [5]%"; expense approval "$50,000 per year"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Pricing threshold </w:t>
            </w:r>
            <w:r w:rsidDel="00000000" w:rsidR="00000000" w:rsidRPr="00000000">
              <w:rPr>
                <w:b w:val="1"/>
                <w:bCs w:val="1"/>
                <w:sz w:val="18"/>
                <w:szCs w:val="18"/>
                <w:vertAlign w:val="baseline"/>
                <w:rtl w:val="0"/>
              </w:rPr>
              <w:t xml:space="preserve">10%</w:t>
            </w:r>
            <w:r w:rsidDel="00000000" w:rsidR="00000000" w:rsidRPr="00000000">
              <w:rPr>
                <w:sz w:val="18"/>
                <w:szCs w:val="18"/>
                <w:vertAlign w:val="baseline"/>
                <w:rtl w:val="0"/>
              </w:rPr>
              <w:t xml:space="preserve">; expense approval $50K is fine. Add "renewals of existing vendor contracts on substantially the same terms do not require approval."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5% cap catches ordinary annual price increases (Ben has raised average fees ~20% in 18 months) and would make Topkey the bottleneck on the thing that drives Keystone's margin.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5; Offer</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Changes for the Partnership version (Topkey 70% / Ben 30%)</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98.90896692806"/>
        <w:gridCol w:w="2053.583361745653"/>
        <w:gridCol w:w="5507.337197408797"/>
        <w:gridCol w:w="1400.1704739174907"/>
        <w:tblGridChange w:id="0">
          <w:tblGrid>
            <w:gridCol w:w="398.90896692806"/>
            <w:gridCol w:w="2053.583361745653"/>
            <w:gridCol w:w="5507.337197408797"/>
            <w:gridCol w:w="1400.1704739174907"/>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Section</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Recommended text / change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Where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Opening paragraph and "A summary of the offer"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"Our proposal values Keystone at $3.0 million and contemplates Topkey acquiring a 70% interest for $2.1 million, with Ben retaining 30%." Rebuild the table: Cash $650,000 at close (31% of the price for the 70% interest); Topkey Equity $1,450,000 issued in full at close (69%); Total for 70% $2,100,000; Retained interest 30% of Keystone, implied value $900,000. Drop the "17% / 83%" language everywhere.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opening, summary table; Offer "Valuation &amp; Consideration"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 Structure of Purchase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"Following a pre-closing F reorganization, Topkey will acquire 70% of the membership interests of Keystone LLC from Ben's holding company on a cash-free, debt-free basis with a normalized level of working capital. Ben's holding company will retain a 30% membership interest. Keystone LLC will be governed by an amended and restated operating agreement on the terms summarized in Exhibit 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1; Offer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 Tax Treatment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Replace in full: "The parties intend that Topkey's acquisition of the 70% interest will be treated for federal income tax purposes as a purchase of 70% of Keystone's assets (Rev. Rul. 99-5), giving Topkey a basis step-up, and that Ben's retained 30% will not be taxed until sold. Ben's holding company will recognize gain on the 70% sold; the cash portion is taxable at closing and the parties will agree the tax value of the Topkey shares by reference to an independent valuation of Topkey common stock. The parties will jointly engage tax counsel, will cooperate on Ben's eligibility for Section 1202 treatment on the Topkey shares, and will make any New Hampshire election needed to recognize Topkey's basis step-up. Keystone LLC will make quarterly tax distributions to its members."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2; Offer "Tax Treatment"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 Components – Topkey Equity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$1,450,000 of Topkey common, "approximately 2.4% of Topkey on a fully diluted, post-SAFE-conversion basis at the reference valuation." Price protection, continuity protection, holder rights and observer right carry over with the Section 2 fixes; the price-protection amount becomes $1,450,000.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3(b); Offer "Topkey Equity Terms"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New 3(c) – Retained interest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(through his holding company) retains 30% of Keystone LLC. The retained interest carries: (i) consent rights over the reserved matters in Exhibit A; (ii) quarterly tax distributions and a right to its pro rata share of other distributions approved by the board; (iii) customary information rights; (iv) tag-along, drag-along and ROFR provisions; and (v) a call right in favor of Topkey and a put right in favor of Ben exercisable between the third and fifth anniversaries of closing at a price equal to 30% of the greater of 1.25x Keystone's trailing-twelve-month recurring revenue and 6.0x its trailing-twelve-month EBITDA, payable in cash, Topkey shares or a combination at Topkey's election, with the call also exercisable on a change of control of Topkey at the same formula."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new 3(c); Offer new row</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Tax value of the Topkey shares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 one sentence to 3(b): "For tax reporting the parties will value the Topkey shares by reference to an independent valuation of Topkey common stock as of the closing date, and will file consistently." (This is what cuts Ben's closing tax by ~$200K without changing the economics.)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3(b); PA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 Operating Decisions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Recast the two columns as "Ben / management authority" and "Reserved matters requiring Topkey approval," and add a third short list, "Reserved matters requiring both members' approval": change of Keystone's name or brand beyond the agreed path; migration of client trust accounting outside the agreed protocol; changes to intercompany pricing or the services schedule; distributions other than tax distributions; issuance of new Keystone equity; related-party transactions; sale of substantially all Keystone assets other than under the drag.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5; Offer "Operating Decisions"; Exhibit 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"What Changes After Closing" – Ownership bullet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"Ownership: Topkey owns 70% of Keystone and Ben's holding company owns 30%; Ben also receives Topkey shares. Keystone's results are consolidated into Topkey's financial statements."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5</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6(b) Existing Topkey relationship</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Use the Section 2 item 14 partnership wording and reference the services schedule (Topkey subscriptions, engineering support, referral economics) in Exhibit 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6(b)</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6(h) Escrow</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"$65,000 (10% of the cash consideration)."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6(h)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6(i) Topkey open item on a minority interest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Delete – it is now the structure.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6(i)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 Confirmatory diligence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 "(i) Keystone LLC's formation documents and the mechanics of the F reorganization; (j) New Hampshire business tax filings and apportionment." Update (h).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7</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New Exhibit A – Operating agreement term sheet (two pages, attached)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Headings: Members and percentages; Management (Topkey-appointed manager/board majority; Ben as President of Keystone); Reserved matters (three lists above); Budget process and deadlock (carry over the LOI's escalation mechanism); Distributions (quarterly tax distributions computed after entity-level NH BPT/BET; other distributions by board); Services schedule (intercompany pricing, engineering support, referral economics, IP ownership of post-closing development); Migration protocol (readiness criteria, Ben's written acceptance per client cohort, blackout January–February); Transfer restrictions, ROFR, tag, drag; Put/call (formula, window, payment form, change-of-control); Information rights; Non-compete of members; Tax matters (partnership representative, §754 election, §704(c) method).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Exhibit 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Offer v12 (one-pager)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Mirror items 1–5, 7 and 10 above. Add a short "Your retained 30%" row so the one-pager shows the three pieces of Ben's consideration side by side: cash, Topkey shares, retained interest.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Offer</w:t>
            </w:r>
          </w:p>
        </w:tc>
      </w:tr>
    </w:tbl>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Changes for the 100% Buyout version</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98.90896692806"/>
        <w:gridCol w:w="2053.583361745653"/>
        <w:gridCol w:w="5507.337197408797"/>
        <w:gridCol w:w="1400.1704739174907"/>
        <w:tblGridChange w:id="0">
          <w:tblGrid>
            <w:gridCol w:w="398.90896692806"/>
            <w:gridCol w:w="2053.583361745653"/>
            <w:gridCol w:w="5507.337197408797"/>
            <w:gridCol w:w="1400.1704739174907"/>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Section</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Recommended text / change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Where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Earnout – decide first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LOI and Offer have no earnout; the model's buyout tab has a $500K Year-3 cash earnout (threshold 80% pays 50%, cap $750K, target $5.33M run-rate revenue). Either remove it from the model or add it to the letter – do not send a letter that differs from the model Ben may later see. Our recommendation if the buyout is chosen: </w:t>
            </w:r>
            <w:r w:rsidDel="00000000" w:rsidR="00000000" w:rsidRPr="00000000">
              <w:rPr>
                <w:b w:val="1"/>
                <w:bCs w:val="1"/>
                <w:sz w:val="18"/>
                <w:szCs w:val="18"/>
                <w:vertAlign w:val="baseline"/>
                <w:rtl w:val="0"/>
              </w:rPr>
              <w:t xml:space="preserve">no earnout in the opening letter</w:t>
            </w:r>
            <w:r w:rsidDel="00000000" w:rsidR="00000000" w:rsidRPr="00000000">
              <w:rPr>
                <w:sz w:val="18"/>
                <w:szCs w:val="18"/>
                <w:vertAlign w:val="baseline"/>
                <w:rtl w:val="0"/>
              </w:rPr>
              <w:t xml:space="preserve"> (keep it as the response if Ben asks for more headline value or more cash), and if it is added later, make it payable in Topkey shares at Topkey's election.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summary table, new 3(c); model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Earnout terms (only if included)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"Contingent consideration of up to $500,000 (target), payable within 90 days after the third anniversary of closing, based on Keystone's run-rate recurring revenue for the three months ending on that anniversary against a target of $5.33 million: 50% of the target amount at 80% achievement, scaling linearly to 100% at target and to a maximum of $750,000 at 150% of target; payable in cash or Topkey shares valued at the then-most-recent priced round or 409A, at Topkey's election. Revenue definitions, treatment of Topkey-referred clients and of pricing changes made at Topkey's direction, and acceleration on a sale of Keystone or Topkey, to be set out in the definitive agreements."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3(c); Offer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 Tax Treatment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Only if counsel confirms the reorganization form: "The parties intend to structure the transaction as a tax-deferred reorganization under Section 368, such that Ben is taxed at closing only on the cash consideration [and on any earnout when received], and the Topkey shares carry over his basis. The form of merger will be determined by tax counsel; Topkey does not expect to receive a basis step-up under this structure." If the earnout is included in cash, the reverse-triangular form is unavailable (the 80% voting-stock test fails at $2.5M of $3.5M) – say "merger" without specifying the form. If counsel cannot deliver deferral, fall back to the F-reorg/taxable sale language in Section 3 item 3 (100% version) and raise closing cash to cover Ben's tax.</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2; Offer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 Structure of Purchase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 will acquire 100% of Keystone through a merger of Keystone LLC with a Topkey subsidiary [or, if the F-reorg route is used, a purchase of 100% of the membership interests of Keystone LLC from Ben's holding company], on a cash-free, debt-free basis..."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Cash at close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$500K is only 17% of value. If Ben pushes for cash, the tax-deferred buyout is the one structure where Topkey can point out that the low cash is what makes the deferral work; the concession to offer is a share-settled or cash earnout (item 2), not more closing cash. State the escrow as $50,000.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3(a), 6(h)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Continuity protection and repurchase right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Because 82% of Ben's outcome is Topkey stock, keep the 36-month declining repurchase right (with the Section 2 item 4 wording) and consider extending it to 48 months in exchange for the Topkey option grant.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3(b)(iv)</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Dilution disclosure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 to holder rights: "Ben acknowledges that Topkey expects to raise additional equity capital, including a priced financing within the next 12–24 months, and that his shares will dilute on the same basis as other holders, subject to the price protection above." (Ben's break-even dilution tolerance in this structure is ~16%; a normal Series A exceeds it. Saying it plainly now is better than an argument later.)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3(b)(v)</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"What Changes After Closing" and 6(i)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Ownership bullet stays ("Topkey owns 100% of Keystone"). Delete 6(i) or replace with: "Topkey remains open to Ben retaining a minority interest in Keystone in place of a portion of the Topkey shares; if Ben prefers that path, the parties will revise this letter accordingly."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LOI 5, 6(i)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Offer v12 (one-pager)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Mirror items 1–5 and 7; keep "17% / 83%" only if there is no earnout, otherwise show three rows (cash, shares, contingent).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Offer</w:t>
            </w:r>
          </w:p>
        </w:tc>
      </w:tr>
    </w:tbl>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Keep these out of the letter – raise verbally or in the definitive documents</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Working-capital peg and deferred revenue</w:t>
      </w:r>
      <w:r w:rsidDel="00000000" w:rsidR="00000000" w:rsidRPr="00000000">
        <w:rPr>
          <w:rtl w:val="0"/>
        </w:rPr>
        <w:t xml:space="preserve"> – trailing-twelve-month average; deferred revenue (onboarding fees billed in advance, annual add-ons) treated as an operating liability. Mention on the walk-through call so Ben is not surprised; mechanics in the purchase agreement.</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Bonus metric definitions, sliding scale and option grant size</w:t>
      </w:r>
      <w:r w:rsidDel="00000000" w:rsidR="00000000" w:rsidRPr="00000000">
        <w:rPr>
          <w:rtl w:val="0"/>
        </w:rPr>
        <w:t xml:space="preserve"> – employment agreement.</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Migration protocol detail</w:t>
      </w:r>
      <w:r w:rsidDel="00000000" w:rsidR="00000000" w:rsidRPr="00000000">
        <w:rPr>
          <w:rtl w:val="0"/>
        </w:rPr>
        <w:t xml:space="preserve"> (readiness criteria, cohort sign-offs, blackout dates) – Exhibit A / operating agreement in the partnership; integration plan in the buyout.</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Transfer-pricing / services schedule numbers</w:t>
      </w:r>
      <w:r w:rsidDel="00000000" w:rsidR="00000000" w:rsidRPr="00000000">
        <w:rPr>
          <w:rtl w:val="0"/>
        </w:rPr>
        <w:t xml:space="preserve"> – operating agreement (partnership only); principle in the LOI.</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Offshore contractor go-forward model</w:t>
      </w:r>
      <w:r w:rsidDel="00000000" w:rsidR="00000000" w:rsidRPr="00000000">
        <w:rPr>
          <w:rtl w:val="0"/>
        </w:rPr>
        <w:t xml:space="preserve"> (EOR vs documented contractors) – agree before signing definitive agreements; special indemnity in the PA.</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Related-party recruiting fee</w:t>
      </w:r>
      <w:r w:rsidDel="00000000" w:rsidR="00000000" w:rsidRPr="00000000">
        <w:rPr>
          <w:rtl w:val="0"/>
        </w:rPr>
        <w:t xml:space="preserve"> – PA; principle in the LOI.</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§754 election, partnership representative, §704(c) method</w:t>
      </w:r>
      <w:r w:rsidDel="00000000" w:rsidR="00000000" w:rsidRPr="00000000">
        <w:rPr>
          <w:rtl w:val="0"/>
        </w:rPr>
        <w:t xml:space="preserve"> – operating agreement.</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Deferred payment of $150–200K on April 1, 2028</w:t>
      </w:r>
      <w:r w:rsidDel="00000000" w:rsidR="00000000" w:rsidRPr="00000000">
        <w:rPr>
          <w:rtl w:val="0"/>
        </w:rPr>
        <w:t xml:space="preserve"> (v3 Section 6) – hold as a negotiating reserve if the 409A value comes in high and Ben's closing tax is tight. Do not put it in the opening letter.</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NH-specific items</w:t>
      </w:r>
      <w:r w:rsidDel="00000000" w:rsidR="00000000" w:rsidRPr="00000000">
        <w:rPr>
          <w:rtl w:val="0"/>
        </w:rPr>
        <w:t xml:space="preserve"> – apportionment, BPT step-up election, Ben's residency plan – tax counsel and Ben's CPA, not the letter.</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Before it goes to Ben – checklist</w:t>
      </w:r>
    </w:p>
    <w:tbl>
      <w:tblPr>
        <w:tblStyle w:val="Table4"/>
        <w:tblW w:w="9359.999999999998"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
        <w:gridCol w:w="6832.799999999999"/>
        <w:gridCol w:w="2059.2"/>
        <w:tblGridChange w:id="0">
          <w:tblGrid>
            <w:gridCol w:w="468"/>
            <w:gridCol w:w="6832.799999999999"/>
            <w:gridCol w:w="2059.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Item</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Owner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One structure chosen; LOI, Offer one-pager and the model tab Ben may see all match (price, cash, stock, earnout or none, escrow, dates)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 / Frank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Every bracket removed or resolved; background numbers filled in; reference valuation supported by a closed document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 / Josh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Tax sentence reviewed by tax counsel for the chosen structure; "tax-deferred" appears only if counsel has confirmed the route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Corey / tax counsel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Ben's ownership percentage recomputed post-SAFE-conversion at the chosen reference; share count and percentage tie out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409A appraiser consulted on (a) valuing the shares for tax and (b) the effect of the acquisition and reference valuation on Topkey's common price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Seed/SAFE investor consent requirements identified; new Felicis partner and YC briefed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 / Corey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Good-reason / brand / tools conflict resolved; migration protocol drafted (Exhibit A or Section 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Frank / Corey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"Unvested" wording removed; price-protection termination and pre-money top-up mechanics added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Corey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Effective date January 2, 2027; 1099-season blackout noted in the integration plan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Frank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Investor data room populated (financials, cap table, SAFEs, 409A) and accredited-investor questionnaire ready for Ben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 / Josh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Section 8 tax questions from the v3 review sent to Ben (or scheduled for the walk-through call), with the document request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Frank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Model re-run: buyout tab with and without earnout at 2.0x; 15–25% Series A dilution sensitivity in both tabs; after-tax rows added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Frank</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before="200" w:lineRule="auto"/>
        <w:rPr>
          <w:color w:val="444444"/>
          <w:sz w:val="18"/>
          <w:szCs w:val="18"/>
        </w:rPr>
      </w:pPr>
      <w:r w:rsidDel="00000000" w:rsidR="00000000" w:rsidRPr="00000000">
        <w:rPr>
          <w:color w:val="444444"/>
          <w:sz w:val="18"/>
          <w:szCs w:val="18"/>
          <w:rtl w:val="0"/>
        </w:rPr>
        <w:t xml:space="preserve">Prepared by AMB Advisory Services LLC. Drafting guidance only; not legal or tax advice. Final language to be prepared by Topkey's counsel and confirmed by tax counsel.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widowControl w:val="0"/>
        <w:spacing w:line="32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60"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