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Keystone Partnership – Series A Decision Options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for each fundraising-related term in LOI v13 / Offer v15, so we can pick what is fair to both Ben and Topkey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Prepared by AMB Advisory Services LLC for Jon Sukhia / Topkey | September 24, 2026 | Confidential – internal to Topkey and its advisors; not for Ben or Keystone.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Updated for the opening position agreed on September 24:</w:t>
      </w:r>
      <w:r w:rsidDel="00000000" w:rsidR="00000000" w:rsidRPr="00000000">
        <w:rPr>
          <w:rtl w:val="0"/>
        </w:rPr>
        <w:t xml:space="preserve"> Ben receives plain Topkey common stock at the valuation, with parity with the SAFE holders held back as a fallback concession (Decisions 2 and 3). Where this document refers to v12, the same text carries into v13. Source: Section 7 of "Keystone Offer Structures Compared" (same folder). Each decision below lists the realistic options, what each means for Ben and for Topkey and its Series A investors, and our suggested pick. The LOI v13 and Offer v15 drafts use the suggested pick as the default, with the alternatives shown in [brackets] where it helps. Where we mark an option as the "fair middle", it is the one we think Ben's advisors and a Series A lead would both accept without a fight.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Structuring guidance only – not legal, tax or accounting advice. Items marked with Corey, tax counsel or the 409A appraiser need their sign-off before the letter goes to Ben.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Summary – decisions and suggested picks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Decision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Where in the drafts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Suggested pick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 Valuation (sets Ben's share count)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3(b)(i); Offer "Shares &amp; Ownership"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$60M if the new SAFE has closed; otherwise $50M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Downside protection mechanism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3(b)(i)–(ii)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Opening position: plain common at the valuation, no protection. Fallback if Ben asks: parity with SAFE holders, one-time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Floor on that protection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Only if parity is conceded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floor at $50M; $45M floor at $60M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Ben's participation in future rounds / liquidity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3(b)(iv)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pro rata; pro rata secondary participation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Board observer seat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3(b)(v)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While employed; lead investor approval after the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Joining future financing documents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3(b)(iv)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Signs amended documents on the same terms as the founders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Good Reason definition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3(b)(iii)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Narrowed (no brand/tools) – already 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Offshore team compliance model and timing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7(d)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EOR for client leads and managers; done before the Series A; cost borne by Keystone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Drag-along price on a sale of Topkey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4(c)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Formula Price plus call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Put/call structure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4(d)–(e)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Call years 3–5; put in year 5 plus good-leaver triggers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Put/call payment form and cash cap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4(g)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Topkey election, ≥30% cash, annual cash cap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Formula Price multiples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4(f)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1.5x revenue / 6.0x EBITDA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Scope of Ben's consent rights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4(h), 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Current list, not unreasonably withheld, cannot block the agreed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Intercompany pricing and IP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7(b)–(c)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Current pricing; free engineering, Topkey owns IP; 5% first-year referral fee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★ in the tables below marks the suggested pick (shaded).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Reference Valuation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3(b)(i); Offer v15 "Topkey Equity" and "Shares &amp; Ownership".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Ben receives common stock priced off a preferred/SAFE valuation. A lead will ask whether the number is backed by a closed document and whether it ties to Ben's share count.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$60M, only if the new SAFE closes before signing; otherwise $50M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Ben is priced at the most recent closed SAFE, whichever it is.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Fair: same price as Topkey's latest investor. ~2.4% at $60M, ~2.8% at $50M.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Fully defensible: a closed document supports whichever number is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$50M regardless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 the last completed SAFE even if the $60M SAFE closes.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More shares (~2.8%); strongest protection against the "common at a preferred price" argument.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~0.4 points more dilution for Jon; easiest to defend to a 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$55M midpoint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Split the difference.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~2.6%; looks like a negotiated compromise.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document supports $55M; harder to explain at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Issue at $50M, true up to next round price within a $45–60M collar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Share count adjusts once at the Series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Protected both ways within the collar.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Another adjustment mechanism for the lead to diligence; overlaps with parity (Decision 2).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A. It is the most honest answer: Ben gets exactly what the latest investor paid. It also lines up with the fallback parity mechanism, which needs a real SAFE cap to reference.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Downside protection mechanism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3(b)(i)–(ii) "Shares and ownership" and "Class and issuance"; Offer v15 "Shares &amp; Ownership" and "Class &amp; Issuance".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Any protection is anti-dilution the lead will price. It must dilute existing holders, not the new investors; end at the first priced round; and be visible on the cap table.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Parity with SAFE holders, one-time (fallback concession)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At the next financing Ben's common is exchanged into the SAFE-conversion preferred at the Reference Valuation cap. Treated as outstanding pre-money; ends at that round, a change of control or month 36.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Same protection as Topkey's own investors, including a 1x preference. Closing tax likely higher (shares value closer to preferred).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Familiar to a lead because the SAFEs already work this way; one more holder converting on existing terms. Cleanly ends at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Limited price-protection ratchet on common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stays common; if the next priced round is below the reference, he gets top-up common down to a floor. Ends at that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Protects the share count but not the preference; closing tax lower.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bespoke ratchet the lead will want pre-money; slightly more unusual than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C. Plain common at the valuation, no protection (opening position)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Common stock sized at $1.45M ÷ the price per share at the valuation; ranks behind preferred like the founders' and employees' common; dilutes on the same basis.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Same position as Jon and the team; lowest closing tax; bears downside in a mediocre exit or down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Cleanest cap table and least 409A pressure; Ben's advisors may push back, which is when A is offered.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Issue preferred now (new Series Seed-2)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receives preferred at closing.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Strongest protection; highest closing tax value.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Charter amendment and seed-investor consent before closing; the lead inherits terms it did not set.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Open with C, which is what v13 drafts, and say plainly in the letter that the shares are common and rank behind the preferred. If Ben pushes for protection, offer A as a concession (the v12 wording can be dropped back in). Use B only if Ben wants protection but the tax cost of A is too high for him.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Floor on the protection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Only relevant if parity (Decision 2, option A) is conceded; not in the v13 drafts.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floor limits how much dilution Jon and the seed holders can suffer if the Series A prices low.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No floor if the reference is $50M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Ben converts exactly like the $50M SAFE holders.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True parity – easy to explain as "same as our investors".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Maximum dilution if the A prices well below $50M, but identical to what the SAFEs already cost.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$45M floor if the reference is $60M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Protection stops at a $45M pre-money.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Protected for a 25% down round; bears the rest.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Caps the ratchet; looks reasonable next to a $60M 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$40M floor (v10 draft)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down to $40M.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More protection.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Bigger potential dilution to Jon.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$50M floor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only between $60M and $50M.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Little real protection.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Lowest cost; Ben's advisors may see it as cosmetic.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Tie it to Decision 1: no floor if the reference is $50M; $45M if it is $60M.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Ben's participation in future rounds / liquidity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3(b)(iv) "[Ben may participate … in any secondary sale …]".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Leads refuse pre-emptive or anti-dilution rights for non-investors. But 93% of Ben's Year-5 value is illiquid, so some liquidity path is fair.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None – dilutes like everyone else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pro rata, no secondary rights.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liquidity until an exit or the put.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Pro rata right in the next financing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may buy his pro rata share of the Series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Can protect his percentage if he has the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Leads usually refuse pro rata for small common holders.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C. Pro rata participation in secondaries offered to common holders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If Topkey organises a secondary for common holders, Ben can sell his proportionate share.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real liquidity path, on the same terms as Jon and employees.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Costs Topkey nothing; the lead controls whether a secondary happens at 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Guaranteed secondary of [10–20]% of his shares at the 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sells a fixed slice in the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Certain early liquidity.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Uses round proceeds; the lead may object.</w:t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C (drafted in v12, in brackets). Offer D only if Ben pushes hard on liquidity, and cap it at 10%.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Board observer seat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3(b)(v).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Leads commonly limit observers and want to control who sits in the room after their round.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Observer while employed (v11)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change at the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Keeps visibility.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lead may ask to renegotiate.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While employed; after the first priced round, subject to the lead's approval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Seat continues unless the lead objects.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Keeps the seat through the most important period; honest about the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Gives the lead the control it expects.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No observer; quarterly CEO business review plus information rights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Replace the seat with a standing meeting.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Less formal visibility.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for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Observer while employed, excluded from Keystone, Ben-employment and financing discussions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Seat with a broader conflict carve-out.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Keeps the seat.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Addresses conflicts; the lead may still want a say.</w:t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B, with D's conflict carve-out (both drafted in v12).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Joining future financing documents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3(b)(iv).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Every Series A requires common holders to sign the amended voting, ROFR/co-sale and drag-along agreements. A holder who can refuse is a closing risk.</w:t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Ben signs amended documents on the same terms as the founders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Joinder now, and he signs future versions that apply equally to Jon and other common holders.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Protected by the "same terms as founders" condition.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Removes a closing risk at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Joins today's documents only; new documents need his consent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 can negotiate at each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Maximum say.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lead will treat this as a hold-out risk.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Same as A, plus Topkey will not ask him to accept terms worse than Jon's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Explicit most-favoured-nation against the founders.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Strongest version of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Acceptable; slightly more drafting.</w:t>
            </w:r>
          </w:p>
        </w:tc>
      </w:tr>
    </w:tbl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 (drafted). C is fine if Ben asks.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Good Reason definition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3(b)(iii).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lead will not accept a seller-held veto (through full acceleration) over rebranding or migrating tools.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Narrowed: title, role, reporting line, base salary or budget authority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Brand and tools are handled by the brand path and Migration Protocol instead.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Protected on the things that define his job.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Resolves the issue.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As A, plus a brand change within 24 months without consent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Adds the brand path as a trigger.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little more protection.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Mostly acceptable; the brand path already covers this.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v10 wording (brand and tools included)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Any brand or tool change without consent = full acceleration.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recommended – the lead will ask for it to be removed.</w:t>
            </w:r>
          </w:p>
        </w:tc>
      </w:tr>
    </w:tbl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 (done in v11/v12). No further change needed.</w:t>
      </w:r>
    </w:p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Offshore team compliance model and timing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7(d); Offer v15 "Offshore team".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Topkey is mid-SOC 2 and has an annual bank audit; an 80-person contractor workforce paid through Wise will be a diligence item at the A.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Keep contractors, with full documentation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Local-counsel opinion, updated contracts, IP assignments.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change for the team; lowest cost.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Least comfort for a 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EOR for client leads and accounting staff; bookkeepers stay documented contractors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Moves the client-facing layer first.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Moderate cost; protects the team members clients rely 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Good diligence answer at a manageable cost.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Full EOR within 12 months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Everyone moves to an employer of record.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Highest cost (EOR fees and benefits); team may take a pay adjustment, as Ben said.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answer.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Decide after diligence, but finish before the 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Defer the choice.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Flexible.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Leaves the question open during the deal.</w:t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B, completed before Topkey's next priced round, with costs borne by Keystone (so shared 70/30). If Topkey insists on C, Topkey should bear the incremental cost.</w:t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Drag-along price on a sale of Topkey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4(c); Offer v15 "Transfers".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buyer of Topkey must be able to get 100% of Keystone, at a price known in advance.</w:t>
      </w:r>
    </w:p>
    <w:tbl>
      <w:tblPr>
        <w:tblStyle w:val="Table10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Formula Price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Same formula as the put/call.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Predictable, but may be below what a buyer implicitly pays for Keystone.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Most certain for a buyer.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Formula Price plus the call premium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Same as Topkey's call price.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modest premium for being forced out.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Still formula-based and certain.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Greater of Formula Price and the value attributed to Keystone in the deal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shares in any premium a buyer pays for Keystone.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Fairest in a strong exit.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Requires an allocation of deal value; a buyer may resist.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Independent appraisal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Fair value at the time.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Neutral.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Uncertain; slows a sale.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B. Offer C as a concession only if Ben argues the formula undervalues Keystone in a sale.</w:t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Put/call structure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4(d)–(e).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put makes the 30% a redeemable interest on Topkey's balance sheet and a future claim the lead will size. A call gives Topkey a clear path to 100%.</w:t>
      </w:r>
    </w:p>
    <w:tbl>
      <w:tblPr>
        <w:tblStyle w:val="Table1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Call years 3–5; put years 4–5 plus good-leaver triggers (v11/v12)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Mutual rights; Topkey's window opens first.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Guaranteed exit from year 4.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put exists from year 4; must be capped and share-settleable.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Call years 3–5; put year 5 only, plus good-leaver triggers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Ben's put opens later.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Guaranteed exit, one year later.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Topkey has two full years to call first; smaller redeemable exposure.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Call only, plus drag; Ben has a put only on termination without cause, death or disability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general put.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guaranteed exit if Topkey never calls.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for the A; Ben's advisors will push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Mutual, settled in Topkey stock only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cash obligation.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Liquidity depends on Topkey stock; tax without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cash claim on the round, but more dilution later.</w:t>
            </w:r>
          </w:p>
        </w:tc>
      </w:tr>
    </w:tbl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 (drafted in v12). It keeps a fair exit for Ben while giving Topkey a clear first move.</w:t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Put/call payment form and cash cap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4(g); Offer v15 "Payment".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Cash consumes round proceeds; stock is dilution taken later. A lead wants the obligation capped.</w:t>
      </w:r>
    </w:p>
    <w:tbl>
      <w:tblPr>
        <w:tblStyle w:val="Table1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Topkey's election, at least 30% cash (v11)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Mix chosen by Topkey.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Enough cash to cover tax on the sale.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Flexible; no cap on a large payment.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As A, plus a cap on cash payable in any 12 months, balance in up to 3 annual instalments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Spreads the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Still gets tax cash up front; the rest over time with interest.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Predictable, capped cash claim.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100% stock at Topkey's election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Taxable without cash – likely unacceptable.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Best for cash; worst for Ben.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Cash in instalments only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stock.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Certain value.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Largest cash claim.</w:t>
            </w:r>
          </w:p>
        </w:tc>
      </w:tr>
    </w:tbl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 (drafted in v12). Set the annual cap around the expected tax on a Year-3 sale (about $0.5–0.7M).</w:t>
      </w:r>
    </w:p>
    <w:p w:rsidR="00000000" w:rsidDel="00000000" w:rsidP="00000000" w:rsidRDefault="00000000" w:rsidRPr="00000000" w14:paraId="000001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Formula Price multiples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4(f).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The formula decides how much of Keystone's growth Ben keeps versus Topkey. A lead mainly needs it fixed and disclosed.</w:t>
      </w:r>
    </w:p>
    <w:tbl>
      <w:tblPr>
        <w:tblStyle w:val="Table1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1.25x revenue / 6.0x EBITDA (Report 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Lower price.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~$2.0M at Year 3; ~$2.6M at Year 5 (vs the model's $4.2M).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Cheapest for Topkey.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1.5x revenue / 6.0x EBITDA (v11/v12)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Middle.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~$2.4M at Year 3; ~$3.1M at Year 5.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Still well below the model's 2.0x.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2.0x revenue (model's re-rate)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shares the software re-rate.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~$4.2M at Year 5.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Pays Ben for value arguably created by Topkey.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Appraised fair value, with the formula as a floor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Market value at the time.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Fairest in principle.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Uncertain amount; slower.</w:t>
            </w:r>
          </w:p>
        </w:tc>
      </w:tr>
    </w:tbl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B. It gives Ben part of the re-rate without paying him for Topkey's contribution.</w:t>
      </w:r>
    </w:p>
    <w:p w:rsidR="00000000" w:rsidDel="00000000" w:rsidP="00000000" w:rsidRDefault="00000000" w:rsidRPr="00000000" w14:paraId="000001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 Scope of Ben's consent rights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4(h) and the note under the Section 6 table; Exhibit A "Consent rights".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lead will ask whether any of Ben's rights can block the company's plan (rebrand, migration, platform pricing).</w:t>
      </w:r>
    </w:p>
    <w:tbl>
      <w:tblPr>
        <w:tblStyle w:val="Table1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Current list; not unreasonably withheld; not needed for actions within the budget, Migration Protocol, brand path or Services Schedule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Consent protects value but cannot block the agreed plan.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Real protection against unfair treatment.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Answers the lead's question without removing Ben's protections.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Economic-only list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Only non-pro-rata distributions, new Keystone equity, related-party deals with Topkey, adverse amendments, dissolution.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Narrower, but covers the main ways a minority holder gets hurt.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for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Current list, sunsetting at the first priced round or after 24 months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during integration only.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Protected when it matters most.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 by the time of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Current list; Topkey casting vote after mediation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Deadlock always resolves in Topkey's favour.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is procedural only.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 for Topkey; Ben's advisors will resist.</w:t>
            </w:r>
          </w:p>
        </w:tc>
      </w:tr>
    </w:tbl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 (drafted in v12). Fall back to B if the lead objects.</w:t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Intercompany pricing and IP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7(b)–(c); Exhibit A "Services Schedule"; Offer v15 "Intercompany &amp; IP".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lead will ask how Topkey ensures it is not building Keystone's value (30% Ben's) at its investors' expense.</w:t>
      </w:r>
    </w:p>
    <w:tbl>
      <w:tblPr>
        <w:tblStyle w:val="Table1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14a. Topkey products used by Keystone: current pricing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Keystone pays today.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No change.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Preserves today's economics; simple.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14a alt. Standard partner pricing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Topkey's partner rate card.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Could be higher or lower.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Arm's-length; easy to defend.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14b. Topkey engineering: no charge; Topkey owns the software and licenses it to Keystone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Topkey funds the build and keeps the IP.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Gets the tools free.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IP stays at the 100%-owned level – the key point for investors.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14b alt. Cost plus [10–15]%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Keystone pays for engineering.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Pays 30% of the cost indirectly.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Arm's-length, but more accounting.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14c. Referred clients: 5% of first-year revenue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Mirrors Keystone's own sales commission.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small, familiar cost.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Recognises Topkey's contribution to Keystone's growth.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14c alt. No referral fee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Referrals are part of the partnership.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Better for Ben.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Topkey gets nothing extra for driving 25% of growth.</w:t>
            </w:r>
          </w:p>
        </w:tc>
      </w:tr>
    </w:tbl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Current pricing; free engineering with Topkey owning the IP; a 5% first-year referral fee.</w:t>
      </w:r>
    </w:p>
    <w:p w:rsidR="00000000" w:rsidDel="00000000" w:rsidP="00000000" w:rsidRDefault="00000000" w:rsidRPr="00000000" w14:paraId="000001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 choice needed – actions to complete before the LOI goes to Ben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Corey: confirm the issuance does not trigger SAFE conversion, MFN or pro rata rights, and list the investor consents needed (now a closing condition, LOI 8(c)).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Jon: brief the new Felicis partner and YC before the LOI is signed.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Tax counsel: confirm the tax value of plain common for Ben's closing tax, and the effect if parity is conceded (Decision 2), and QSBS for Topkey's existing holders given a 70% LLC interest in a services business.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409A appraiser: indicative value of Ben's plain common shares (and with parity, in case it is conceded), and the effect of the deal on Topkey's common price.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Josh: model the put/call as a redeemable interest and set the annual cash cap (Decision 11).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Frank: re-run the model with 15–25% Series A dilution and the chosen Formula Price.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Drafting already done in v12/v13: Topkey may hold the 70% through a wholly owned subsidiary; no Topkey financing triggers the put or counts as a change of control.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Prepared by AMB Advisory Services LLC. Structuring guidance only; figures are estimates from the current scenario model and must be confirmed by counsel, tax advisors and the 409A appraiser.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2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20" w:lineRule="auto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