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40"/>
      </w:pPr>
      <w:r>
        <w:rPr>
          <w:highlight w:val="yellow"/>
        </w:rPr>
        <w:t xml:space="preserve">[October ●, 2026]</w:t>
      </w:r>
    </w:p>
    <w:p>
      <w:pPr>
        <w:spacing w:before="280" w:after="140"/>
      </w:pPr>
      <w:r>
        <w:rPr>
          <w:b/>
          <w:bCs/>
          <w:color w:val="7A0000"/>
          <w:sz w:val="24"/>
          <w:szCs w:val="24"/>
          <w:u w:val="single"/>
        </w:rPr>
        <w:t xml:space="preserve">Confidential Letter of Intent</w:t>
      </w:r>
    </w:p>
    <w:p>
      <w:pPr>
        <w:spacing w:after="160" w:line="264" w:lineRule="auto"/>
        <w:jc w:val="both"/>
      </w:pPr>
      <w:r>
        <w:t xml:space="preserve">Dear Ben:</w:t>
      </w:r>
    </w:p>
    <w:p>
      <w:pPr>
        <w:spacing w:after="160" w:line="264" w:lineRule="auto"/>
        <w:jc w:val="both"/>
      </w:pPr>
      <w:r>
        <w:t xml:space="preserve">We are pleased to send you this Letter of Intent (this “Letter”) regarding a proposed partnership between Topkey </w:t>
      </w:r>
      <w:r>
        <w:rPr>
          <w:highlight w:val="yellow"/>
        </w:rPr>
        <w:t xml:space="preserve">[Inc.]</w:t>
      </w:r>
      <w:r>
        <w:t xml:space="preserve"> (“Topkey”) and Keystone Bookkeepers </w:t>
      </w:r>
      <w:r>
        <w:rPr>
          <w:highlight w:val="yellow"/>
        </w:rPr>
        <w:t xml:space="preserve">[LLC]</w:t>
      </w:r>
      <w:r>
        <w:t xml:space="preserve"> (“Keystone”). </w:t>
      </w:r>
      <w:r>
        <w:rPr>
          <w:b/>
          <w:bCs/>
        </w:rPr>
        <w:t xml:space="preserve">Our proposal values Keystone at $3.0 million. Topkey would acquire a 70% interest in Keystone for $2.1 million, and you would retain a 30% interest alongside us.</w:t>
      </w:r>
    </w:p>
    <w:p>
      <w:pPr>
        <w:spacing w:after="160" w:line="264" w:lineRule="auto"/>
        <w:jc w:val="both"/>
      </w:pPr>
      <w:r>
        <w:t xml:space="preserve">We are excited about the prospect of partnering with you. We have structured this proposal so that you keep a meaningful direct stake in the business you built, while also sharing in Topkey’s growth.</w:t>
      </w:r>
    </w:p>
    <w:p>
      <w:pPr>
        <w:spacing w:before="280" w:after="140"/>
      </w:pPr>
      <w:r>
        <w:rPr>
          <w:b/>
          <w:bCs/>
          <w:color w:val="7A0000"/>
          <w:sz w:val="24"/>
          <w:szCs w:val="24"/>
          <w:u w:val="single"/>
        </w:rPr>
        <w:t xml:space="preserve">Background on Topkey</w:t>
      </w:r>
    </w:p>
    <w:p>
      <w:pPr>
        <w:spacing w:after="160" w:line="264" w:lineRule="auto"/>
        <w:jc w:val="both"/>
      </w:pPr>
      <w:r>
        <w:t xml:space="preserve">Topkey builds the financial infrastructure short-term rental and vacation rental property managers run on. Our platform covers expense management, corporate cards, bill pay, banking and payments, portfolio and inventory tools, and RevHub — revenue reconciliation, owner statements, and a trust accounting ledger now in development. We integrate with the systems our customers already use, including Plaid, QuickBooks, Sage Intacct, Breezeway, and the major property management systems.</w:t>
      </w:r>
    </w:p>
    <w:p>
      <w:pPr>
        <w:spacing w:after="160" w:line="264" w:lineRule="auto"/>
        <w:jc w:val="both"/>
      </w:pPr>
      <w:r>
        <w:t xml:space="preserve">Today </w:t>
      </w:r>
      <w:r>
        <w:rPr>
          <w:highlight w:val="yellow"/>
        </w:rPr>
        <w:t xml:space="preserve">[approximately X]</w:t>
      </w:r>
      <w:r>
        <w:t xml:space="preserve"> property management companies and </w:t>
      </w:r>
      <w:r>
        <w:rPr>
          <w:highlight w:val="yellow"/>
        </w:rPr>
        <w:t xml:space="preserve">[approximately X]</w:t>
      </w:r>
      <w:r>
        <w:t xml:space="preserve"> properties run on Topkey. We have raised </w:t>
      </w:r>
      <w:r>
        <w:rPr>
          <w:highlight w:val="yellow"/>
        </w:rPr>
        <w:t xml:space="preserve">[approximately $8 million]</w:t>
      </w:r>
      <w:r>
        <w:t xml:space="preserve"> to date across a priced seed round and subsequent SAFEs. Our last completed SAFE was at a $50 million post-money valuation, and we expect a further SAFE to close at a $60 million post-money valuation </w:t>
      </w:r>
      <w:r>
        <w:rPr>
          <w:highlight w:val="yellow"/>
        </w:rPr>
        <w:t xml:space="preserve">[prior to signing definitive agreements]</w:t>
      </w:r>
      <w:r>
        <w:t xml:space="preserve">. We hold banking relationships with </w:t>
      </w:r>
      <w:r>
        <w:rPr>
          <w:highlight w:val="yellow"/>
        </w:rPr>
        <w:t xml:space="preserve">[X]</w:t>
      </w:r>
      <w:r>
        <w:t xml:space="preserve">, and a corporate partnership with </w:t>
      </w:r>
      <w:r>
        <w:rPr>
          <w:highlight w:val="yellow"/>
        </w:rPr>
        <w:t xml:space="preserve">[X, one of the larger operators in the space]</w:t>
      </w:r>
      <w:r>
        <w:t xml:space="preserve">.</w:t>
      </w:r>
    </w:p>
    <w:p>
      <w:pPr>
        <w:spacing w:after="160" w:line="264" w:lineRule="auto"/>
        <w:jc w:val="both"/>
      </w:pPr>
      <w:r>
        <w:t xml:space="preserve">We believe the property management world is going to be fundamentally reshaped by leveraging tailor-made AI-driven software solutions with a high-quality financial service team.</w:t>
      </w:r>
    </w:p>
    <w:p>
      <w:pPr>
        <w:spacing w:after="160" w:line="264" w:lineRule="auto"/>
        <w:jc w:val="both"/>
      </w:pPr>
      <w:r>
        <w:t xml:space="preserve">In short, we think we can go further, faster, together.</w:t>
      </w:r>
    </w:p>
    <w:p>
      <w:pPr>
        <w:spacing w:before="280" w:after="140"/>
      </w:pPr>
      <w:r>
        <w:rPr>
          <w:b/>
          <w:bCs/>
          <w:color w:val="7A0000"/>
          <w:sz w:val="24"/>
          <w:szCs w:val="24"/>
          <w:u w:val="single"/>
        </w:rPr>
        <w:t xml:space="preserve">A summary of the offer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2600"/>
        <w:gridCol w:w="3680"/>
      </w:tblGrid>
      <w:tr>
        <w:tc>
          <w:tcPr>
            <w:tcW w:w="21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pPr/>
            <w:r>
              <w:rPr>
                <w:b/>
                <w:bCs/>
                <w:color w:val="FFFFFF"/>
              </w:rPr>
              <w:t xml:space="preserve">Components</w:t>
            </w:r>
          </w:p>
        </w:tc>
        <w:tc>
          <w:tcPr>
            <w:tcW w:w="17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pPr/>
            <w:r>
              <w:rPr>
                <w:b/>
                <w:bCs/>
                <w:color w:val="FFFFFF"/>
              </w:rPr>
              <w:t xml:space="preserve">Amount</w:t>
            </w:r>
          </w:p>
        </w:tc>
        <w:tc>
          <w:tcPr>
            <w:tcW w:w="26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pPr/>
            <w:r>
              <w:rPr>
                <w:b/>
                <w:bCs/>
                <w:color w:val="FFFFFF"/>
              </w:rPr>
              <w:t xml:space="preserve">When it will be paid</w:t>
            </w:r>
          </w:p>
        </w:tc>
        <w:tc>
          <w:tcPr>
            <w:tcW w:w="368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pPr/>
            <w:r>
              <w:rPr>
                <w:b/>
                <w:bCs/>
                <w:color w:val="FFFFFF"/>
              </w:rPr>
              <w:t xml:space="preserve">How it’s calculated</w:t>
            </w:r>
          </w:p>
        </w:tc>
      </w:tr>
      <w:tr>
        <w:tc>
          <w:tcPr>
            <w:tcW w:w="21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Cash</w:t>
            </w:r>
          </w:p>
        </w:tc>
        <w:tc>
          <w:tcPr>
            <w:tcW w:w="17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$650,000</w:t>
            </w:r>
          </w:p>
        </w:tc>
        <w:tc>
          <w:tcPr>
            <w:tcW w:w="26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At close</w:t>
            </w:r>
          </w:p>
        </w:tc>
        <w:tc>
          <w:tcPr>
            <w:tcW w:w="36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31% of the price for the 70% interest; </w:t>
            </w:r>
            <w:r>
              <w:rPr>
                <w:highlight w:val="yellow"/>
              </w:rPr>
              <w:t xml:space="preserve">[10]</w:t>
            </w:r>
            <w:r>
              <w:t xml:space="preserve">% ($65,000) held in escrow</w:t>
            </w:r>
          </w:p>
        </w:tc>
      </w:tr>
      <w:tr>
        <w:tc>
          <w:tcPr>
            <w:tcW w:w="21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Topkey Equity</w:t>
            </w:r>
          </w:p>
        </w:tc>
        <w:tc>
          <w:tcPr>
            <w:tcW w:w="17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$1,450,000</w:t>
            </w:r>
          </w:p>
        </w:tc>
        <w:tc>
          <w:tcPr>
            <w:tcW w:w="26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Issued in full at close</w:t>
            </w:r>
          </w:p>
        </w:tc>
        <w:tc>
          <w:tcPr>
            <w:tcW w:w="36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69% of the price for the 70% interest, in newly issued Topkey shares at the Reference Valuation</w:t>
            </w:r>
          </w:p>
        </w:tc>
      </w:tr>
      <w:tr>
        <w:tc>
          <w:tcPr>
            <w:tcW w:w="21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Total for 70% interest</w:t>
            </w:r>
          </w:p>
        </w:tc>
        <w:tc>
          <w:tcPr>
            <w:tcW w:w="1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$2,100,000</w:t>
            </w:r>
          </w:p>
        </w:tc>
        <w:tc>
          <w:tcPr>
            <w:tcW w:w="26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p>
        </w:tc>
        <w:tc>
          <w:tcPr>
            <w:tcW w:w="368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70% of Total Valuation</w:t>
            </w:r>
          </w:p>
        </w:tc>
      </w:tr>
      <w:tr>
        <w:tc>
          <w:tcPr>
            <w:tcW w:w="21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Retained Interest</w:t>
            </w:r>
          </w:p>
        </w:tc>
        <w:tc>
          <w:tcPr>
            <w:tcW w:w="17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30% of Keystone</w:t>
            </w:r>
          </w:p>
        </w:tc>
        <w:tc>
          <w:tcPr>
            <w:tcW w:w="26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Retained by Ben at close</w:t>
            </w:r>
          </w:p>
        </w:tc>
        <w:tc>
          <w:tcPr>
            <w:tcW w:w="36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Implied value of $900,000 (30% of Total Valuation)</w:t>
            </w:r>
          </w:p>
        </w:tc>
      </w:tr>
    </w:tbl>
    <w:p>
      <w:pPr>
        <w:spacing w:before="100" w:after="200"/>
        <w:jc w:val="both"/>
      </w:pPr>
      <w:r>
        <w:rPr>
          <w:i/>
          <w:iCs/>
          <w:sz w:val="16"/>
          <w:szCs w:val="16"/>
        </w:rPr>
        <w:t xml:space="preserve">Note: “Total Valuation” of $3.0 million is based on a multiple of 1.0x applied to Keystone’s run-rate recurring revenue (“Pro Forma” or “PF”). Pro forma LTM </w:t>
      </w:r>
      <w:r>
        <w:rPr>
          <w:i/>
          <w:iCs/>
          <w:sz w:val="16"/>
          <w:szCs w:val="16"/>
          <w:highlight w:val="yellow"/>
        </w:rPr>
        <w:t xml:space="preserve">[September]</w:t>
      </w:r>
      <w:r>
        <w:rPr>
          <w:i/>
          <w:iCs/>
          <w:sz w:val="16"/>
          <w:szCs w:val="16"/>
        </w:rPr>
        <w:t xml:space="preserve"> 2026 recurring revenue is approximately $3.0 million.</w:t>
      </w:r>
    </w:p>
    <w:p>
      <w:pPr>
        <w:spacing w:before="280" w:after="140"/>
      </w:pPr>
      <w:r>
        <w:rPr>
          <w:b/>
          <w:bCs/>
          <w:color w:val="7A0000"/>
          <w:sz w:val="24"/>
          <w:szCs w:val="24"/>
          <w:u w:val="single"/>
        </w:rPr>
        <w:t xml:space="preserve">The nuts and bolts of the offer</w:t>
      </w:r>
    </w:p>
    <w:p>
      <w:pPr>
        <w:pStyle w:val="ListParagraph"/>
        <w:numPr>
          <w:ilvl w:val="0"/>
          <w:numId w:val="2"/>
        </w:numPr>
        <w:spacing w:after="120" w:line="264" w:lineRule="auto"/>
        <w:jc w:val="both"/>
      </w:pPr>
      <w:r>
        <w:rPr>
          <w:b/>
          <w:bCs/>
        </w:rPr>
        <w:t xml:space="preserve">Structure of Purchase:</w:t>
      </w:r>
      <w:r>
        <w:t xml:space="preserve"> Topkey will acquire 70% of the membership interests of Keystone (the “Acquired Interest”) on a cash-free, debt-free basis, with a normalized level of working capital delivered at close. Ben, </w:t>
      </w:r>
      <w:r>
        <w:rPr>
          <w:highlight w:val="yellow"/>
        </w:rPr>
        <w:t xml:space="preserve">[directly or through a holding company formed for this purpose]</w:t>
      </w:r>
      <w:r>
        <w:t xml:space="preserve">, will retain the remaining 30% (the “Retained Interest”). Cash in excess of normalized working capital may be distributed to Ben before closing, and all existing indebtedness (including credit card balances and any revolving facility) will be repaid at or before closing. After closing, Keystone will be governed by an amended and restated operating agreement on the terms summarized in Exhibit A (the “Operating Agreement”).</w:t>
      </w:r>
    </w:p>
    <w:p>
      <w:pPr>
        <w:pStyle w:val="ListParagraph"/>
        <w:numPr>
          <w:ilvl w:val="0"/>
          <w:numId w:val="2"/>
        </w:numPr>
        <w:spacing w:after="120" w:line="264" w:lineRule="auto"/>
        <w:jc w:val="both"/>
      </w:pPr>
      <w:r>
        <w:rPr>
          <w:b/>
          <w:bCs/>
        </w:rPr>
        <w:t xml:space="preserve">Tax Matters:</w:t>
      </w:r>
      <w:r>
        <w:t xml:space="preserve"> The parties will work together in good faith, with the assistance of jointly engaged tax counsel, to structure the transaction in a tax-efficient manner for both parties, including any pre-closing reorganization of Keystone and the treatment of the Retained Interest. The specific structure will be set out in the definitive agreements. Each party is responsible for its own taxes and will rely on its own tax advisors.</w:t>
      </w:r>
    </w:p>
    <w:p>
      <w:pPr>
        <w:pStyle w:val="ListParagraph"/>
        <w:numPr>
          <w:ilvl w:val="0"/>
          <w:numId w:val="2"/>
        </w:numPr>
        <w:spacing w:after="120" w:line="264" w:lineRule="auto"/>
        <w:jc w:val="both"/>
      </w:pPr>
      <w:r>
        <w:rPr>
          <w:b/>
          <w:bCs/>
        </w:rPr>
        <w:t xml:space="preserve">Components of Consideration:</w:t>
      </w:r>
      <w:r>
        <w:t xml:space="preserve"> The consideration for the Acquired Interest is as follows:</w:t>
      </w:r>
    </w:p>
    <w:p>
      <w:pPr>
        <w:pStyle w:val="ListParagraph"/>
        <w:numPr>
          <w:ilvl w:val="1"/>
          <w:numId w:val="2"/>
        </w:numPr>
        <w:spacing w:after="120" w:line="264" w:lineRule="auto"/>
        <w:jc w:val="both"/>
      </w:pPr>
      <w:r>
        <w:rPr>
          <w:b/>
          <w:bCs/>
        </w:rPr>
        <w:t xml:space="preserve">Cash:</w:t>
      </w:r>
      <w:r>
        <w:t xml:space="preserve"> $650,000 paid at close, representing 31% of the price for the Acquired Interest, of which </w:t>
      </w:r>
      <w:r>
        <w:rPr>
          <w:highlight w:val="yellow"/>
        </w:rPr>
        <w:t xml:space="preserve">[10]</w:t>
      </w:r>
      <w:r>
        <w:t xml:space="preserve">% ($65,000) will be held in escrow as described in Section 7(h).</w:t>
      </w:r>
    </w:p>
    <w:p>
      <w:pPr>
        <w:pStyle w:val="ListParagraph"/>
        <w:numPr>
          <w:ilvl w:val="1"/>
          <w:numId w:val="2"/>
        </w:numPr>
        <w:spacing w:after="120" w:line="264" w:lineRule="auto"/>
        <w:jc w:val="both"/>
      </w:pPr>
      <w:r>
        <w:rPr>
          <w:b/>
          <w:bCs/>
        </w:rPr>
        <w:t xml:space="preserve">Topkey Equity:</w:t>
      </w:r>
      <w:r>
        <w:t xml:space="preserve"> $1,450,000, representing 69% of the price for the Acquired Interest, paid in newly issued shares of Topkey common stock. The equity terms are as follows:</w:t>
      </w:r>
    </w:p>
    <w:p>
      <w:pPr>
        <w:pStyle w:val="ListParagraph"/>
        <w:numPr>
          <w:ilvl w:val="2"/>
          <w:numId w:val="2"/>
        </w:numPr>
        <w:spacing w:after="120" w:line="264" w:lineRule="auto"/>
        <w:jc w:val="both"/>
      </w:pPr>
      <w:r>
        <w:rPr>
          <w:b/>
          <w:bCs/>
        </w:rPr>
        <w:t xml:space="preserve">Reference Valuation and ownership:</w:t>
      </w:r>
      <w:r>
        <w:t xml:space="preserve"> the number of shares issued will equal $1,450,000 divided by the price per share implied by a post-money valuation of </w:t>
      </w:r>
      <w:r>
        <w:rPr>
          <w:highlight w:val="yellow"/>
        </w:rPr>
        <w:t xml:space="preserve">[$60 million]</w:t>
      </w:r>
      <w:r>
        <w:t xml:space="preserve"> (the “Reference Valuation”). This represents approximately </w:t>
      </w:r>
      <w:r>
        <w:rPr>
          <w:highlight w:val="yellow"/>
        </w:rPr>
        <w:t xml:space="preserve">[2.4]</w:t>
      </w:r>
      <w:r>
        <w:t xml:space="preserve">% of Topkey on a fully diluted basis, assuming conversion of all outstanding SAFEs and other convertible instruments at their applicable valuation caps and including Topkey’s existing option pool. For reference, Topkey’s last completed SAFE was at a $50 million post-money valuation, and a further SAFE is expected to close at a $60 million post-money valuation. </w:t>
      </w:r>
      <w:r>
        <w:rPr>
          <w:highlight w:val="yellow"/>
        </w:rPr>
        <w:t xml:space="preserve">[Topkey decision: use $60 million if that SAFE has closed before this Letter is signed; otherwise $50 million (approximately [2.8]%).]</w:t>
      </w:r>
    </w:p>
    <w:p>
      <w:pPr>
        <w:pStyle w:val="ListParagraph"/>
        <w:numPr>
          <w:ilvl w:val="2"/>
          <w:numId w:val="2"/>
        </w:numPr>
        <w:spacing w:after="120" w:line="264" w:lineRule="auto"/>
        <w:jc w:val="both"/>
      </w:pPr>
      <w:r>
        <w:rPr>
          <w:b/>
          <w:bCs/>
        </w:rPr>
        <w:t xml:space="preserve">Issuance:</w:t>
      </w:r>
      <w:r>
        <w:t xml:space="preserve"> shares are issued in full at closing.</w:t>
      </w:r>
    </w:p>
    <w:p>
      <w:pPr>
        <w:pStyle w:val="ListParagraph"/>
        <w:numPr>
          <w:ilvl w:val="2"/>
          <w:numId w:val="2"/>
        </w:numPr>
        <w:spacing w:after="120" w:line="264" w:lineRule="auto"/>
        <w:jc w:val="both"/>
      </w:pPr>
      <w:r>
        <w:rPr>
          <w:b/>
          <w:bCs/>
        </w:rPr>
        <w:t xml:space="preserve">Equity parity:</w:t>
      </w:r>
      <w:r>
        <w:t xml:space="preserve"> at the closing of Topkey’s next equity financing, Ben’s shares will be exchanged for shares of the same series of preferred stock issued on conversion of Topkey’s outstanding SAFEs, at the conversion price applicable to a SAFE with a post-money valuation cap equal to the Reference Valuation</w:t>
      </w:r>
      <w:r>
        <w:rPr>
          <w:highlight w:val="yellow"/>
        </w:rPr>
        <w:t xml:space="preserve">[, subject to a minimum pre-money valuation of [$45 million]]</w:t>
      </w:r>
      <w:r>
        <w:t xml:space="preserve">. If Topkey is sold before such a financing, Ben’s shares will receive the same per-share treatment as those SAFEs. Any additional shares issued in the exchange carry the same rights and continuity protection as the original shares. The exchange is a one-time adjustment: Ben’s shares will be treated as outstanding immediately before that financing, so that any additional shares dilute Topkey’s existing holders rather than the new investors; the right terminates on the earlier of that financing, a change of control of Topkey and </w:t>
      </w:r>
      <w:r>
        <w:rPr>
          <w:highlight w:val="yellow"/>
        </w:rPr>
        <w:t xml:space="preserve">[36]</w:t>
      </w:r>
      <w:r>
        <w:t xml:space="preserve"> months after closing; and Ben will have no other anti-dilution rights. Mechanics will be set out in the definitive agreements. </w:t>
      </w:r>
      <w:r>
        <w:rPr>
          <w:highlight w:val="yellow"/>
        </w:rPr>
        <w:t xml:space="preserve">[Topkey open item: confirm with tax counsel and Topkey’s valuation advisor before this Letter is sent.]</w:t>
      </w:r>
    </w:p>
    <w:p>
      <w:pPr>
        <w:pStyle w:val="ListParagraph"/>
        <w:numPr>
          <w:ilvl w:val="2"/>
          <w:numId w:val="2"/>
        </w:numPr>
        <w:spacing w:after="120" w:line="264" w:lineRule="auto"/>
        <w:jc w:val="both"/>
      </w:pPr>
      <w:r>
        <w:rPr>
          <w:b/>
          <w:bCs/>
        </w:rPr>
        <w:t xml:space="preserve">Continuity protection:</w:t>
      </w:r>
      <w:r>
        <w:t xml:space="preserve"> if, within </w:t>
      </w:r>
      <w:r>
        <w:rPr>
          <w:highlight w:val="yellow"/>
        </w:rPr>
        <w:t xml:space="preserve">[36]</w:t>
      </w:r>
      <w:r>
        <w:t xml:space="preserve"> months of closing, Ben is terminated for Cause or resigns without Good Reason, Topkey may repurchase a declining portion of the shares issued at closing. That portion starts at 100% at closing and reduces ratably on a </w:t>
      </w:r>
      <w:r>
        <w:rPr>
          <w:highlight w:val="yellow"/>
        </w:rPr>
        <w:t xml:space="preserve">[monthly]</w:t>
      </w:r>
      <w:r>
        <w:t xml:space="preserve"> basis to 0% at the end of month </w:t>
      </w:r>
      <w:r>
        <w:rPr>
          <w:highlight w:val="yellow"/>
        </w:rPr>
        <w:t xml:space="preserve">[36]</w:t>
      </w:r>
      <w:r>
        <w:t xml:space="preserve">. The repurchase price is fair market value as determined by an independent appraiser </w:t>
      </w:r>
      <w:r>
        <w:rPr>
          <w:highlight w:val="yellow"/>
        </w:rPr>
        <w:t xml:space="preserve">[mutually selected by the parties]</w:t>
      </w:r>
      <w:r>
        <w:t xml:space="preserve">, at Topkey’s cost. The repurchase right lapses in full on Ben’s death or disability, termination without Cause, resignation for Good Reason, or a change of control of Topkey. “Good Reason” includes a material reduction in Ben’s title, role, reporting line, base salary or authority over Keystone’s approved budget. Cause, Good Reason, disability and change of control will be customarily defined in the definitive agreements, with a </w:t>
      </w:r>
      <w:r>
        <w:rPr>
          <w:highlight w:val="yellow"/>
        </w:rPr>
        <w:t xml:space="preserve">[30]</w:t>
      </w:r>
      <w:r>
        <w:t xml:space="preserve">-day notice and cure period for curable events.</w:t>
      </w:r>
    </w:p>
    <w:p>
      <w:pPr>
        <w:pStyle w:val="ListParagraph"/>
        <w:numPr>
          <w:ilvl w:val="2"/>
          <w:numId w:val="2"/>
        </w:numPr>
        <w:spacing w:after="120" w:line="264" w:lineRule="auto"/>
        <w:jc w:val="both"/>
      </w:pPr>
      <w:r>
        <w:rPr>
          <w:b/>
          <w:bCs/>
        </w:rPr>
        <w:t xml:space="preserve">Holder rights:</w:t>
      </w:r>
      <w:r>
        <w:t xml:space="preserve"> the same rights, and the same treatment in future financings (including dilution), as other holders of the same class of shares, except as described under Equity parity. Ben will receive </w:t>
      </w:r>
      <w:r>
        <w:rPr>
          <w:highlight w:val="yellow"/>
        </w:rPr>
        <w:t xml:space="preserve">[annual financial statements and quarterly updates]</w:t>
      </w:r>
      <w:r>
        <w:t xml:space="preserve">. Ben will become party to Topkey’s voting, right of first refusal and co-sale, drag-along and market stand-off agreements, including amended versions adopted in connection with future financings, in each case on the same terms as apply to Topkey’s founders and other holders of the same class. Ben acknowledges that Topkey expects to raise additional equity capital, including a priced financing within the next </w:t>
      </w:r>
      <w:r>
        <w:rPr>
          <w:highlight w:val="yellow"/>
        </w:rPr>
        <w:t xml:space="preserve">[12–24]</w:t>
      </w:r>
      <w:r>
        <w:t xml:space="preserve"> months and any related increase to its option pool, and that his shares will dilute on the same basis as other holders, subject only to Equity parity. </w:t>
      </w:r>
      <w:r>
        <w:rPr>
          <w:highlight w:val="yellow"/>
        </w:rPr>
        <w:t xml:space="preserve">[Ben may participate, pro rata with other common holders, in any secondary sale of common stock that Topkey offers to its common holders generally.]</w:t>
      </w:r>
    </w:p>
    <w:p>
      <w:pPr>
        <w:pStyle w:val="ListParagraph"/>
        <w:numPr>
          <w:ilvl w:val="2"/>
          <w:numId w:val="2"/>
        </w:numPr>
        <w:spacing w:after="120" w:line="264" w:lineRule="auto"/>
        <w:jc w:val="both"/>
      </w:pPr>
      <w:r>
        <w:rPr>
          <w:b/>
          <w:bCs/>
        </w:rPr>
        <w:t xml:space="preserve">Board observer:</w:t>
      </w:r>
      <w:r>
        <w:t xml:space="preserve"> Ben will have the right to attend meetings of Topkey’s board of directors as a non-voting observer and to receive the materials provided to directors for so long as he is employed by Topkey or its affiliates</w:t>
      </w:r>
      <w:r>
        <w:rPr>
          <w:highlight w:val="yellow"/>
        </w:rPr>
        <w:t xml:space="preserve">[ and, after the closing of Topkey’s first priced equity financing, subject to the approval of the lead investor in that financing]</w:t>
      </w:r>
      <w:r>
        <w:t xml:space="preserve">, subject to customary confidentiality obligations and to exclusion where required to preserve attorney-client privilege, to avoid a conflict of interest (including discussions of Keystone, the Retained Interest or Ben’s employment), or under the terms of a future financing.</w:t>
      </w:r>
    </w:p>
    <w:p>
      <w:pPr>
        <w:pStyle w:val="ListParagraph"/>
        <w:numPr>
          <w:ilvl w:val="2"/>
          <w:numId w:val="2"/>
        </w:numPr>
        <w:spacing w:after="120" w:line="264" w:lineRule="auto"/>
        <w:jc w:val="both"/>
      </w:pPr>
      <w:r>
        <w:rPr>
          <w:b/>
          <w:bCs/>
        </w:rPr>
        <w:t xml:space="preserve">Securities matters:</w:t>
      </w:r>
      <w:r>
        <w:t xml:space="preserve"> the shares will be issued in a private placement exempt from registration and will be restricted securities. Before definitive agreements are signed, Topkey will provide Ben with its financial statements, capitalization table, the terms of its outstanding SAFEs and other information reasonably requested, and Ben will complete a customary investor questionnaire.</w:t>
      </w:r>
    </w:p>
    <w:p>
      <w:pPr>
        <w:pStyle w:val="ListParagraph"/>
        <w:numPr>
          <w:ilvl w:val="2"/>
          <w:numId w:val="2"/>
        </w:numPr>
        <w:spacing w:after="120" w:line="264" w:lineRule="auto"/>
        <w:jc w:val="both"/>
      </w:pPr>
      <w:r>
        <w:rPr>
          <w:b/>
          <w:bCs/>
        </w:rPr>
        <w:t xml:space="preserve">Existing SAFEs and investors:</w:t>
      </w:r>
      <w:r>
        <w:t xml:space="preserve"> before definitive agreements are signed, Topkey will confirm that the issuance of Ben’s shares does not trigger conversion, most-favored-nation or other rights under its outstanding SAFEs, and will obtain any consents or waivers required from its investors.</w:t>
      </w:r>
    </w:p>
    <w:p>
      <w:pPr>
        <w:pStyle w:val="ListParagraph"/>
        <w:numPr>
          <w:ilvl w:val="0"/>
          <w:numId w:val="2"/>
        </w:numPr>
        <w:spacing w:after="120" w:line="264" w:lineRule="auto"/>
        <w:jc w:val="both"/>
      </w:pPr>
      <w:r>
        <w:rPr>
          <w:b/>
          <w:bCs/>
        </w:rPr>
        <w:t xml:space="preserve">Retained Interest:</w:t>
      </w:r>
      <w:r>
        <w:t xml:space="preserve"> Ben will retain 30% of Keystone. The Retained Interest carries the following rights, which will be set out in the Operating Agreement:</w:t>
      </w:r>
    </w:p>
    <w:p>
      <w:pPr>
        <w:pStyle w:val="ListParagraph"/>
        <w:numPr>
          <w:ilvl w:val="1"/>
          <w:numId w:val="2"/>
        </w:numPr>
        <w:spacing w:after="120" w:line="264" w:lineRule="auto"/>
        <w:jc w:val="both"/>
      </w:pPr>
      <w:r>
        <w:rPr>
          <w:b/>
          <w:bCs/>
        </w:rPr>
        <w:t xml:space="preserve">Governance and information:</w:t>
      </w:r>
      <w:r>
        <w:t xml:space="preserve"> consent rights over the matters listed as requiring approval of both members in Section 6, and customary monthly and annual financial information about Keystone;</w:t>
      </w:r>
    </w:p>
    <w:p>
      <w:pPr>
        <w:pStyle w:val="ListParagraph"/>
        <w:numPr>
          <w:ilvl w:val="1"/>
          <w:numId w:val="2"/>
        </w:numPr>
        <w:spacing w:after="120" w:line="264" w:lineRule="auto"/>
        <w:jc w:val="both"/>
      </w:pPr>
      <w:r>
        <w:rPr>
          <w:b/>
          <w:bCs/>
        </w:rPr>
        <w:t xml:space="preserve">Distributions:</w:t>
      </w:r>
      <w:r>
        <w:t xml:space="preserve"> quarterly tax distributions to all members pro rata, and a pro rata share of any other distributions approved by Keystone’s board;</w:t>
      </w:r>
    </w:p>
    <w:p>
      <w:pPr>
        <w:pStyle w:val="ListParagraph"/>
        <w:numPr>
          <w:ilvl w:val="1"/>
          <w:numId w:val="2"/>
        </w:numPr>
        <w:spacing w:after="120" w:line="264" w:lineRule="auto"/>
        <w:jc w:val="both"/>
      </w:pPr>
      <w:r>
        <w:rPr>
          <w:b/>
          <w:bCs/>
        </w:rPr>
        <w:t xml:space="preserve">Transfers:</w:t>
      </w:r>
      <w:r>
        <w:t xml:space="preserve"> customary restrictions on transfer, a right of first refusal in favor of Topkey, a tag-along right for Ben, and a drag-along right in favor of Topkey on a sale of Keystone or a change of control of Topkey, under which the Retained Interest is sold for </w:t>
      </w:r>
      <w:r>
        <w:rPr>
          <w:highlight w:val="yellow"/>
        </w:rPr>
        <w:t xml:space="preserve">[the Formula Price]</w:t>
      </w:r>
      <w:r>
        <w:t xml:space="preserve"> </w:t>
      </w:r>
      <w:r>
        <w:rPr>
          <w:highlight w:val="yellow"/>
        </w:rPr>
        <w:t xml:space="preserve">[plus the call premium]</w:t>
      </w:r>
      <w:r>
        <w:t xml:space="preserve"> </w:t>
      </w:r>
      <w:r>
        <w:rPr>
          <w:highlight w:val="yellow"/>
        </w:rPr>
        <w:t xml:space="preserve">[or, if higher, its pro rata share of the value attributed to Keystone in that transaction]</w:t>
      </w:r>
      <w:r>
        <w:t xml:space="preserve">, so that any buyer of Topkey acquires 100% of Keystone;</w:t>
      </w:r>
    </w:p>
    <w:p>
      <w:pPr>
        <w:pStyle w:val="ListParagraph"/>
        <w:numPr>
          <w:ilvl w:val="1"/>
          <w:numId w:val="2"/>
        </w:numPr>
        <w:spacing w:after="120" w:line="264" w:lineRule="auto"/>
        <w:jc w:val="both"/>
      </w:pPr>
      <w:r>
        <w:rPr>
          <w:b/>
          <w:bCs/>
        </w:rPr>
        <w:t xml:space="preserve">Call right:</w:t>
      </w:r>
      <w:r>
        <w:t xml:space="preserve"> Topkey may purchase all (but not less than all) of the Retained Interest at any time between the </w:t>
      </w:r>
      <w:r>
        <w:rPr>
          <w:highlight w:val="yellow"/>
        </w:rPr>
        <w:t xml:space="preserve">[third]</w:t>
      </w:r>
      <w:r>
        <w:t xml:space="preserve"> and </w:t>
      </w:r>
      <w:r>
        <w:rPr>
          <w:highlight w:val="yellow"/>
        </w:rPr>
        <w:t xml:space="preserve">[fifth]</w:t>
      </w:r>
      <w:r>
        <w:t xml:space="preserve"> anniversaries of closing, and on a change of control of Topkey, at the Formula Price </w:t>
      </w:r>
      <w:r>
        <w:rPr>
          <w:highlight w:val="yellow"/>
        </w:rPr>
        <w:t xml:space="preserve">[plus a [10]% premium]</w:t>
      </w:r>
      <w:r>
        <w:t xml:space="preserve">;</w:t>
      </w:r>
    </w:p>
    <w:p>
      <w:pPr>
        <w:pStyle w:val="ListParagraph"/>
        <w:numPr>
          <w:ilvl w:val="1"/>
          <w:numId w:val="2"/>
        </w:numPr>
        <w:spacing w:after="120" w:line="264" w:lineRule="auto"/>
        <w:jc w:val="both"/>
      </w:pPr>
      <w:r>
        <w:rPr>
          <w:b/>
          <w:bCs/>
        </w:rPr>
        <w:t xml:space="preserve">Put right:</w:t>
      </w:r>
      <w:r>
        <w:t xml:space="preserve"> Ben may require Topkey to purchase all (but not less than all) of the Retained Interest during the </w:t>
      </w:r>
      <w:r>
        <w:rPr>
          <w:highlight w:val="yellow"/>
        </w:rPr>
        <w:t xml:space="preserve">[12]</w:t>
      </w:r>
      <w:r>
        <w:t xml:space="preserve"> months following the </w:t>
      </w:r>
      <w:r>
        <w:rPr>
          <w:highlight w:val="yellow"/>
        </w:rPr>
        <w:t xml:space="preserve">[fifth]</w:t>
      </w:r>
      <w:r>
        <w:t xml:space="preserve"> anniversary of closing, and on termination of Ben’s employment without Cause, his resignation for Good Reason, or his death or disability, at the Formula Price. No equity financing of Topkey will by itself constitute a change of control or trigger the put right;</w:t>
      </w:r>
    </w:p>
    <w:p>
      <w:pPr>
        <w:pStyle w:val="ListParagraph"/>
        <w:numPr>
          <w:ilvl w:val="1"/>
          <w:numId w:val="2"/>
        </w:numPr>
        <w:spacing w:after="120" w:line="264" w:lineRule="auto"/>
        <w:jc w:val="both"/>
      </w:pPr>
      <w:r>
        <w:rPr>
          <w:b/>
          <w:bCs/>
        </w:rPr>
        <w:t xml:space="preserve">Formula Price:</w:t>
      </w:r>
      <w:r>
        <w:t xml:space="preserve"> 30% of the greater of (A) </w:t>
      </w:r>
      <w:r>
        <w:rPr>
          <w:highlight w:val="yellow"/>
        </w:rPr>
        <w:t xml:space="preserve">[1.5]</w:t>
      </w:r>
      <w:r>
        <w:t xml:space="preserve">x Keystone’s trailing-twelve-month recurring revenue and (B) </w:t>
      </w:r>
      <w:r>
        <w:rPr>
          <w:highlight w:val="yellow"/>
        </w:rPr>
        <w:t xml:space="preserve">[6.0]</w:t>
      </w:r>
      <w:r>
        <w:t xml:space="preserve">x Keystone’s trailing-twelve-month EBITDA, each calculated consistently with Keystone’s historical accounting and subject to independent review if disputed. </w:t>
      </w:r>
      <w:r>
        <w:rPr>
          <w:highlight w:val="yellow"/>
        </w:rPr>
        <w:t xml:space="preserve">[If Topkey exercises its call right following Ben’s resignation without Good Reason or termination for Cause, the price will be the Formula Price less [20]%.]</w:t>
      </w:r>
    </w:p>
    <w:p>
      <w:pPr>
        <w:pStyle w:val="ListParagraph"/>
        <w:numPr>
          <w:ilvl w:val="1"/>
          <w:numId w:val="2"/>
        </w:numPr>
        <w:spacing w:after="120" w:line="264" w:lineRule="auto"/>
        <w:jc w:val="both"/>
      </w:pPr>
      <w:r>
        <w:rPr>
          <w:b/>
          <w:bCs/>
        </w:rPr>
        <w:t xml:space="preserve">Payment:</w:t>
      </w:r>
      <w:r>
        <w:t xml:space="preserve"> at Topkey’s election, in cash, Topkey shares (valued at the price per share of Topkey’s most recent equity financing), or a combination, provided that at least </w:t>
      </w:r>
      <w:r>
        <w:rPr>
          <w:highlight w:val="yellow"/>
        </w:rPr>
        <w:t xml:space="preserve">[30]</w:t>
      </w:r>
      <w:r>
        <w:t xml:space="preserve">% is paid in cash at the closing of the purchase. Any balance may be paid in up to </w:t>
      </w:r>
      <w:r>
        <w:rPr>
          <w:highlight w:val="yellow"/>
        </w:rPr>
        <w:t xml:space="preserve">[three]</w:t>
      </w:r>
      <w:r>
        <w:t xml:space="preserve"> equal annual installments bearing interest at </w:t>
      </w:r>
      <w:r>
        <w:rPr>
          <w:highlight w:val="yellow"/>
        </w:rPr>
        <w:t xml:space="preserve">[●]</w:t>
      </w:r>
      <w:r>
        <w:t xml:space="preserve">% per year</w:t>
      </w:r>
      <w:r>
        <w:rPr>
          <w:highlight w:val="yellow"/>
        </w:rPr>
        <w:t xml:space="preserve">[, and the cash payable in any 12-month period will not exceed $[●]]</w:t>
      </w:r>
      <w:r>
        <w:t xml:space="preserve">.</w:t>
      </w:r>
    </w:p>
    <w:p>
      <w:pPr>
        <w:pStyle w:val="ListParagraph"/>
        <w:numPr>
          <w:ilvl w:val="1"/>
          <w:numId w:val="2"/>
        </w:numPr>
        <w:spacing w:after="120" w:line="264" w:lineRule="auto"/>
        <w:jc w:val="both"/>
      </w:pPr>
      <w:r>
        <w:rPr>
          <w:b/>
          <w:bCs/>
        </w:rPr>
        <w:t xml:space="preserve">Scope of Ben’s consent rights:</w:t>
      </w:r>
      <w:r>
        <w:t xml:space="preserve"> Ben’s consent rights exist to protect the economic value of the Retained Interest. His consent will not be unreasonably withheld, conditioned or delayed, and is not required for actions taken in accordance with the approved budget, the Migration Protocol, the agreed brand path or the Services Schedule</w:t>
      </w:r>
      <w:r>
        <w:rPr>
          <w:highlight w:val="yellow"/>
        </w:rPr>
        <w:t xml:space="preserve">[; the consent rights terminate if the Retained Interest is purchased under the call or put rights]</w:t>
      </w:r>
      <w:r>
        <w:t xml:space="preserve">.</w:t>
      </w:r>
    </w:p>
    <w:p>
      <w:pPr>
        <w:pStyle w:val="ListParagraph"/>
        <w:numPr>
          <w:ilvl w:val="0"/>
          <w:numId w:val="2"/>
        </w:numPr>
        <w:spacing w:after="120" w:line="264" w:lineRule="auto"/>
        <w:jc w:val="both"/>
      </w:pPr>
      <w:r>
        <w:rPr>
          <w:b/>
          <w:bCs/>
        </w:rPr>
        <w:t xml:space="preserve">Ben’s Role &amp; Compensation:</w:t>
      </w:r>
      <w:r>
        <w:t xml:space="preserve"> We would expect Ben to be employed by Topkey under a </w:t>
      </w:r>
      <w:r>
        <w:rPr>
          <w:highlight w:val="yellow"/>
        </w:rPr>
        <w:t xml:space="preserve">[3]</w:t>
      </w:r>
      <w:r>
        <w:t xml:space="preserve">-year employment agreement, renewing annually thereafter, on the following terms: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Employer</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Topkey </w:t>
            </w:r>
            <w:r>
              <w:rPr>
                <w:highlight w:val="yellow"/>
              </w:rPr>
              <w:t xml:space="preserve">[Inc.]</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Title</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rPr>
                <w:highlight w:val="yellow"/>
              </w:rPr>
              <w:t xml:space="preserve">[President of Keystone]</w:t>
            </w:r>
            <w:r>
              <w:t xml:space="preserve"> and </w:t>
            </w:r>
            <w:r>
              <w:rPr>
                <w:highlight w:val="yellow"/>
              </w:rPr>
              <w:t xml:space="preserve">[Head of Accounting Services]</w:t>
            </w:r>
            <w:r>
              <w:t xml:space="preserve"> at Topkey, </w:t>
            </w:r>
            <w:r>
              <w:rPr>
                <w:highlight w:val="yellow"/>
              </w:rPr>
              <w:t xml:space="preserve">[reporting to Topkey’s CEO]</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Base Salary</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$200,000 per year</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Performance Bonus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Target of $50,000 per year, paying from </w:t>
            </w:r>
            <w:r>
              <w:rPr>
                <w:highlight w:val="yellow"/>
              </w:rPr>
              <w:t xml:space="preserve">[50]</w:t>
            </w:r>
            <w:r>
              <w:t xml:space="preserve">% of target at threshold performance up to </w:t>
            </w:r>
            <w:r>
              <w:rPr>
                <w:highlight w:val="yellow"/>
              </w:rPr>
              <w:t xml:space="preserve">[150]</w:t>
            </w:r>
            <w:r>
              <w:t xml:space="preserve">% of target for outperformance, based on </w:t>
            </w:r>
            <w:r>
              <w:rPr>
                <w:highlight w:val="yellow"/>
              </w:rPr>
              <w:t xml:space="preserve">[net new client revenue]</w:t>
            </w:r>
            <w:r>
              <w:t xml:space="preserve"> and </w:t>
            </w:r>
            <w:r>
              <w:rPr>
                <w:highlight w:val="yellow"/>
              </w:rPr>
              <w:t xml:space="preserve">[client-lead and accounting-manager retention]</w:t>
            </w:r>
            <w:r>
              <w:t xml:space="preserve"> targets set in the annual budget</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Total Earning Potential</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$250,000 per year at target; up to $</w:t>
            </w:r>
            <w:r>
              <w:rPr>
                <w:highlight w:val="yellow"/>
              </w:rPr>
              <w:t xml:space="preserve">[275,000]</w:t>
            </w:r>
            <w:r>
              <w:t xml:space="preserve"> at maximum</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Equity Incentive</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Eligible to participate in Topkey’s equity incentive plan on the same basis as other senior leaders</w:t>
            </w:r>
            <w:r>
              <w:rPr>
                <w:highlight w:val="yellow"/>
              </w:rPr>
              <w:t xml:space="preserve">[, with an initial option grant of [●] shares]</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Work Location &amp; Schedule</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Fully remote, with Ben setting his own schedule consistent with his responsibilities</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Benefits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Eligible for Topkey benefit plans on the same basis as other Topkey executives</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Severance</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rPr>
                <w:highlight w:val="yellow"/>
              </w:rPr>
              <w:t xml:space="preserve">[●]</w:t>
            </w:r>
            <w:r>
              <w:t xml:space="preserve"> months of base salary on termination without Cause or resignation for Good Reason, subject to a customary release</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Employment Term</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rPr>
                <w:highlight w:val="yellow"/>
              </w:rPr>
              <w:t xml:space="preserve">[3]</w:t>
            </w:r>
            <w:r>
              <w:t xml:space="preserve">-year employment agreement, renewing annually thereafter</w:t>
            </w:r>
          </w:p>
        </w:tc>
      </w:tr>
    </w:tbl>
    <w:p>
      <w:pPr>
        <w:spacing w:after="120"/>
      </w:pPr>
    </w:p>
    <w:p>
      <w:pPr>
        <w:pStyle w:val="ListParagraph"/>
        <w:numPr>
          <w:ilvl w:val="0"/>
          <w:numId w:val="2"/>
        </w:numPr>
        <w:spacing w:after="120" w:line="264" w:lineRule="auto"/>
        <w:jc w:val="both"/>
      </w:pPr>
      <w:r>
        <w:rPr>
          <w:b/>
          <w:bCs/>
        </w:rPr>
        <w:t xml:space="preserve">Operating Decisions:</w:t>
      </w:r>
      <w:r>
        <w:t xml:space="preserve"> Ben continues to run Keystone day to day. Topkey’s role is to add engineering, capital and thought partnership, not to manage the business.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tc>
          <w:tcPr>
            <w:tcW w:w="336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pPr/>
            <w:r>
              <w:rPr>
                <w:b/>
                <w:bCs/>
                <w:color w:val="FFFFFF"/>
              </w:rPr>
              <w:t xml:space="preserve">Ben Keeps Control Of</w:t>
            </w:r>
          </w:p>
        </w:tc>
        <w:tc>
          <w:tcPr>
            <w:tcW w:w="336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pPr/>
            <w:r>
              <w:rPr>
                <w:b/>
                <w:bCs/>
                <w:color w:val="FFFFFF"/>
              </w:rPr>
              <w:t xml:space="preserve">Requires Topkey Approval</w:t>
            </w:r>
          </w:p>
        </w:tc>
        <w:tc>
          <w:tcPr>
            <w:tcW w:w="336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pPr/>
            <w:r>
              <w:rPr>
                <w:b/>
                <w:bCs/>
                <w:color w:val="FFFFFF"/>
              </w:rPr>
              <w:t xml:space="preserve">Requires Approval of Both Members</w:t>
            </w:r>
          </w:p>
        </w:tc>
      </w:tr>
      <w:tr>
        <w:tc>
          <w:tcPr>
            <w:tcW w:w="336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pStyle w:val="ListParagraph"/>
              <w:numPr>
                <w:ilvl w:val="0"/>
                <w:numId w:val="3"/>
              </w:numPr>
              <w:spacing w:after="80" w:line="264" w:lineRule="auto"/>
            </w:pPr>
            <w:r>
              <w:t xml:space="preserve">Day-to-day operations and client service delivery</w:t>
            </w:r>
          </w:p>
          <w:p>
            <w:pPr>
              <w:pStyle w:val="ListParagraph"/>
              <w:numPr>
                <w:ilvl w:val="0"/>
                <w:numId w:val="3"/>
              </w:numPr>
              <w:spacing w:after="80" w:line="264" w:lineRule="auto"/>
            </w:pPr>
            <w:r>
              <w:t xml:space="preserve">Pod structure, staffing levels, and hiring and termination decisions within the approved budget</w:t>
            </w:r>
          </w:p>
          <w:p>
            <w:pPr>
              <w:pStyle w:val="ListParagraph"/>
              <w:numPr>
                <w:ilvl w:val="0"/>
                <w:numId w:val="3"/>
              </w:numPr>
              <w:spacing w:after="80" w:line="264" w:lineRule="auto"/>
            </w:pPr>
            <w:r>
              <w:t xml:space="preserve">Team compensation, KPIs and bonus programs within budget</w:t>
            </w:r>
          </w:p>
          <w:p>
            <w:pPr>
              <w:pStyle w:val="ListParagraph"/>
              <w:numPr>
                <w:ilvl w:val="0"/>
                <w:numId w:val="3"/>
              </w:numPr>
              <w:spacing w:after="80" w:line="264" w:lineRule="auto"/>
            </w:pPr>
            <w:r>
              <w:t xml:space="preserve">Recruiting approach and management of the offshore team</w:t>
            </w:r>
          </w:p>
          <w:p>
            <w:pPr>
              <w:pStyle w:val="ListParagraph"/>
              <w:numPr>
                <w:ilvl w:val="0"/>
                <w:numId w:val="3"/>
              </w:numPr>
              <w:spacing w:after="80" w:line="264" w:lineRule="auto"/>
            </w:pPr>
            <w:r>
              <w:t xml:space="preserve">Client acceptance criteria, onboarding and service standards</w:t>
            </w:r>
          </w:p>
          <w:p>
            <w:pPr>
              <w:pStyle w:val="ListParagraph"/>
              <w:numPr>
                <w:ilvl w:val="0"/>
                <w:numId w:val="3"/>
              </w:numPr>
              <w:spacing w:after="80" w:line="264" w:lineRule="auto"/>
            </w:pPr>
            <w:r>
              <w:t xml:space="preserve">Service pricing within the approved pricing guidelines</w:t>
            </w:r>
          </w:p>
          <w:p>
            <w:pPr>
              <w:pStyle w:val="ListParagraph"/>
              <w:numPr>
                <w:ilvl w:val="0"/>
                <w:numId w:val="3"/>
              </w:numPr>
              <w:spacing w:after="80" w:line="264" w:lineRule="auto"/>
            </w:pPr>
            <w:r>
              <w:t xml:space="preserve">Marketing, content and conference presence within budget</w:t>
            </w:r>
          </w:p>
          <w:p>
            <w:pPr>
              <w:pStyle w:val="ListParagraph"/>
              <w:numPr>
                <w:ilvl w:val="0"/>
                <w:numId w:val="3"/>
              </w:numPr>
              <w:spacing w:after="80" w:line="264" w:lineRule="auto"/>
            </w:pPr>
            <w:r>
              <w:t xml:space="preserve">His own schedule, location and working style</w:t>
            </w:r>
          </w:p>
        </w:tc>
        <w:tc>
          <w:tcPr>
            <w:tcW w:w="336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pStyle w:val="ListParagraph"/>
              <w:numPr>
                <w:ilvl w:val="0"/>
                <w:numId w:val="3"/>
              </w:numPr>
              <w:spacing w:after="80" w:line="264" w:lineRule="auto"/>
            </w:pPr>
            <w:r>
              <w:t xml:space="preserve">Annual operating budget and headcount plan</w:t>
            </w:r>
          </w:p>
          <w:p>
            <w:pPr>
              <w:pStyle w:val="ListParagraph"/>
              <w:numPr>
                <w:ilvl w:val="0"/>
                <w:numId w:val="3"/>
              </w:numPr>
              <w:spacing w:after="80" w:line="264" w:lineRule="auto"/>
            </w:pPr>
            <w:r>
              <w:t xml:space="preserve">Senior leadership hires not included in the approved budget</w:t>
            </w:r>
          </w:p>
          <w:p>
            <w:pPr>
              <w:pStyle w:val="ListParagraph"/>
              <w:numPr>
                <w:ilvl w:val="0"/>
                <w:numId w:val="3"/>
              </w:numPr>
              <w:spacing w:after="80" w:line="264" w:lineRule="auto"/>
            </w:pPr>
            <w:r>
              <w:t xml:space="preserve">Any expense or contract commitment above </w:t>
            </w:r>
            <w:r>
              <w:rPr>
                <w:highlight w:val="yellow"/>
              </w:rPr>
              <w:t xml:space="preserve">[$50,000]</w:t>
            </w:r>
            <w:r>
              <w:t xml:space="preserve"> per year (other than renewals of existing contracts on substantially similar terms)</w:t>
            </w:r>
          </w:p>
          <w:p>
            <w:pPr>
              <w:pStyle w:val="ListParagraph"/>
              <w:numPr>
                <w:ilvl w:val="0"/>
                <w:numId w:val="3"/>
              </w:numPr>
              <w:spacing w:after="80" w:line="264" w:lineRule="auto"/>
            </w:pPr>
            <w:r>
              <w:t xml:space="preserve">Changes to the core tech stack outside the Migration Protocol</w:t>
            </w:r>
          </w:p>
          <w:p>
            <w:pPr>
              <w:pStyle w:val="ListParagraph"/>
              <w:numPr>
                <w:ilvl w:val="0"/>
                <w:numId w:val="3"/>
              </w:numPr>
              <w:spacing w:after="80" w:line="264" w:lineRule="auto"/>
            </w:pPr>
            <w:r>
              <w:t xml:space="preserve">Debt, capital expenditures, guarantees or liens</w:t>
            </w:r>
          </w:p>
          <w:p>
            <w:pPr>
              <w:pStyle w:val="ListParagraph"/>
              <w:numPr>
                <w:ilvl w:val="0"/>
                <w:numId w:val="3"/>
              </w:numPr>
              <w:spacing w:after="80" w:line="264" w:lineRule="auto"/>
            </w:pPr>
            <w:r>
              <w:t xml:space="preserve">Acquisitions, new entities or new service lines</w:t>
            </w:r>
          </w:p>
          <w:p>
            <w:pPr>
              <w:pStyle w:val="ListParagraph"/>
              <w:numPr>
                <w:ilvl w:val="0"/>
                <w:numId w:val="3"/>
              </w:numPr>
              <w:spacing w:after="80" w:line="264" w:lineRule="auto"/>
            </w:pPr>
            <w:r>
              <w:t xml:space="preserve">Material pricing changes (more than </w:t>
            </w:r>
            <w:r>
              <w:rPr>
                <w:highlight w:val="yellow"/>
              </w:rPr>
              <w:t xml:space="preserve">[10]</w:t>
            </w:r>
            <w:r>
              <w:t xml:space="preserve">%) or non-standard client contract terms</w:t>
            </w:r>
          </w:p>
          <w:p>
            <w:pPr>
              <w:pStyle w:val="ListParagraph"/>
              <w:numPr>
                <w:ilvl w:val="0"/>
                <w:numId w:val="3"/>
              </w:numPr>
              <w:spacing w:after="80" w:line="264" w:lineRule="auto"/>
            </w:pPr>
            <w:r>
              <w:t xml:space="preserve">Litigation and settlements</w:t>
            </w:r>
          </w:p>
        </w:tc>
        <w:tc>
          <w:tcPr>
            <w:tcW w:w="336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pStyle w:val="ListParagraph"/>
              <w:numPr>
                <w:ilvl w:val="0"/>
                <w:numId w:val="3"/>
              </w:numPr>
              <w:spacing w:after="80" w:line="264" w:lineRule="auto"/>
            </w:pPr>
            <w:r>
              <w:t xml:space="preserve">Changes to Keystone’s name or brand beyond the agreed brand path</w:t>
            </w:r>
          </w:p>
          <w:p>
            <w:pPr>
              <w:pStyle w:val="ListParagraph"/>
              <w:numPr>
                <w:ilvl w:val="0"/>
                <w:numId w:val="3"/>
              </w:numPr>
              <w:spacing w:after="80" w:line="264" w:lineRule="auto"/>
            </w:pPr>
            <w:r>
              <w:t xml:space="preserve">Migration of client trust accounting outside the Migration Protocol</w:t>
            </w:r>
          </w:p>
          <w:p>
            <w:pPr>
              <w:pStyle w:val="ListParagraph"/>
              <w:numPr>
                <w:ilvl w:val="0"/>
                <w:numId w:val="3"/>
              </w:numPr>
              <w:spacing w:after="80" w:line="264" w:lineRule="auto"/>
            </w:pPr>
            <w:r>
              <w:t xml:space="preserve">Changes to intercompany pricing or the Services Schedule</w:t>
            </w:r>
          </w:p>
          <w:p>
            <w:pPr>
              <w:pStyle w:val="ListParagraph"/>
              <w:numPr>
                <w:ilvl w:val="0"/>
                <w:numId w:val="3"/>
              </w:numPr>
              <w:spacing w:after="80" w:line="264" w:lineRule="auto"/>
            </w:pPr>
            <w:r>
              <w:t xml:space="preserve">Distributions other than tax distributions</w:t>
            </w:r>
          </w:p>
          <w:p>
            <w:pPr>
              <w:pStyle w:val="ListParagraph"/>
              <w:numPr>
                <w:ilvl w:val="0"/>
                <w:numId w:val="3"/>
              </w:numPr>
              <w:spacing w:after="80" w:line="264" w:lineRule="auto"/>
            </w:pPr>
            <w:r>
              <w:t xml:space="preserve">Issuing new Keystone equity or admitting new members</w:t>
            </w:r>
          </w:p>
          <w:p>
            <w:pPr>
              <w:pStyle w:val="ListParagraph"/>
              <w:numPr>
                <w:ilvl w:val="0"/>
                <w:numId w:val="3"/>
              </w:numPr>
              <w:spacing w:after="80" w:line="264" w:lineRule="auto"/>
            </w:pPr>
            <w:r>
              <w:t xml:space="preserve">Related-party transactions, including with Topkey or Ben’s affiliates</w:t>
            </w:r>
          </w:p>
          <w:p>
            <w:pPr>
              <w:pStyle w:val="ListParagraph"/>
              <w:numPr>
                <w:ilvl w:val="0"/>
                <w:numId w:val="3"/>
              </w:numPr>
              <w:spacing w:after="80" w:line="264" w:lineRule="auto"/>
            </w:pPr>
            <w:r>
              <w:t xml:space="preserve">Sale of all or substantially all of Keystone’s assets, dissolution, or amendments to the Operating Agreement (other than under the drag-along)</w:t>
            </w:r>
          </w:p>
        </w:tc>
      </w:tr>
    </w:tbl>
    <w:p>
      <w:pPr>
        <w:spacing w:after="120"/>
      </w:pPr>
    </w:p>
    <w:p>
      <w:pPr>
        <w:spacing w:after="160" w:line="264" w:lineRule="auto"/>
        <w:ind w:left="360"/>
        <w:jc w:val="both"/>
      </w:pPr>
      <w:r>
        <w:rPr>
          <w:b/>
          <w:bCs/>
        </w:rPr>
        <w:t xml:space="preserve">Approval of both members:</w:t>
      </w:r>
      <w:r>
        <w:t xml:space="preserve"> Approval of matters in the third column may not be unreasonably withheld, conditioned or delayed, and is not required for actions taken in accordance with the approved budget, the Migration Protocol, the agreed brand path or the Services Schedule.</w:t>
      </w:r>
    </w:p>
    <w:p>
      <w:pPr>
        <w:spacing w:after="160" w:line="264" w:lineRule="auto"/>
        <w:ind w:left="360"/>
        <w:jc w:val="both"/>
      </w:pPr>
      <w:r>
        <w:rPr>
          <w:b/>
          <w:bCs/>
        </w:rPr>
        <w:t xml:space="preserve">Deadlock &amp; escalation:</w:t>
      </w:r>
      <w:r>
        <w:t xml:space="preserve"> If Ben and Topkey cannot agree on a matter that requires Topkey approval or the approval of both members, including the annual budget and KPIs, either party may escalate it to Ben and Topkey’s CEO, who will meet within </w:t>
      </w:r>
      <w:r>
        <w:rPr>
          <w:highlight w:val="yellow"/>
        </w:rPr>
        <w:t xml:space="preserve">[10]</w:t>
      </w:r>
      <w:r>
        <w:t xml:space="preserve"> business days to resolve it in good faith. If the matter is still unresolved </w:t>
      </w:r>
      <w:r>
        <w:rPr>
          <w:highlight w:val="yellow"/>
        </w:rPr>
        <w:t xml:space="preserve">[15]</w:t>
      </w:r>
      <w:r>
        <w:t xml:space="preserve"> business days after escalation, the parties will refer it to non-binding mediation with a mutually agreed independent advisor. While a budget dispute is pending, Keystone continues to operate under the prior year’s approved budget, and Ben’s performance bonus is measured against the prior year’s agreed targets.</w:t>
      </w:r>
    </w:p>
    <w:p>
      <w:pPr>
        <w:spacing w:before="280" w:after="140"/>
      </w:pPr>
      <w:r>
        <w:rPr>
          <w:b/>
          <w:bCs/>
          <w:color w:val="7A0000"/>
          <w:sz w:val="24"/>
          <w:szCs w:val="24"/>
          <w:u w:val="single"/>
        </w:rPr>
        <w:t xml:space="preserve">What Changes After Closing</w:t>
      </w:r>
    </w:p>
    <w:p>
      <w:pPr>
        <w:pStyle w:val="ListParagraph"/>
        <w:numPr>
          <w:ilvl w:val="0"/>
          <w:numId w:val="3"/>
        </w:numPr>
        <w:spacing w:after="100" w:line="264" w:lineRule="auto"/>
        <w:jc w:val="both"/>
      </w:pPr>
      <w:r>
        <w:rPr>
          <w:b/>
          <w:bCs/>
        </w:rPr>
        <w:t xml:space="preserve">Ownership:</w:t>
      </w:r>
      <w:r>
        <w:t xml:space="preserve"> Topkey owns 70% of Keystone and Ben owns 30%. Ben also becomes a Topkey stockholder. Keystone’s results are consolidated into Topkey’s financial statements.</w:t>
      </w:r>
    </w:p>
    <w:p>
      <w:pPr>
        <w:pStyle w:val="ListParagraph"/>
        <w:numPr>
          <w:ilvl w:val="0"/>
          <w:numId w:val="3"/>
        </w:numPr>
        <w:spacing w:after="100" w:line="264" w:lineRule="auto"/>
        <w:jc w:val="both"/>
      </w:pPr>
      <w:r>
        <w:rPr>
          <w:b/>
          <w:bCs/>
        </w:rPr>
        <w:t xml:space="preserve">Financial reporting:</w:t>
      </w:r>
      <w:r>
        <w:t xml:space="preserve"> Keystone completes a monthly close and reports results to Topkey’s finance team. Keystone also operates against an annual budget that Ben prepares and Keystone’s board approves.</w:t>
      </w:r>
    </w:p>
    <w:p>
      <w:pPr>
        <w:pStyle w:val="ListParagraph"/>
        <w:numPr>
          <w:ilvl w:val="0"/>
          <w:numId w:val="3"/>
        </w:numPr>
        <w:spacing w:after="100" w:line="264" w:lineRule="auto"/>
        <w:jc w:val="both"/>
      </w:pPr>
      <w:r>
        <w:rPr>
          <w:b/>
          <w:bCs/>
        </w:rPr>
        <w:t xml:space="preserve">Technology:</w:t>
      </w:r>
      <w:r>
        <w:t xml:space="preserve"> Topkey’s engineering team leads software and automation development in partnership with Keystone’s operators. Keystone’s current outsourced development work transitions to Topkey over time.</w:t>
      </w:r>
    </w:p>
    <w:p>
      <w:pPr>
        <w:pStyle w:val="ListParagraph"/>
        <w:numPr>
          <w:ilvl w:val="0"/>
          <w:numId w:val="3"/>
        </w:numPr>
        <w:spacing w:after="100" w:line="264" w:lineRule="auto"/>
        <w:jc w:val="both"/>
      </w:pPr>
      <w:r>
        <w:rPr>
          <w:b/>
          <w:bCs/>
        </w:rPr>
        <w:t xml:space="preserve">Software stack:</w:t>
      </w:r>
      <w:r>
        <w:t xml:space="preserve"> Where Topkey offers an equivalent or better product (for example, trust accounting in place of VR Platform), tools migrate to Topkey under a written migration protocol agreed before closing (the “Migration Protocol”). The Migration Protocol will set readiness criteria, require Ben’s sign-off for each client cohort, and prevent client migrations during </w:t>
      </w:r>
      <w:r>
        <w:rPr>
          <w:highlight w:val="yellow"/>
        </w:rPr>
        <w:t xml:space="preserve">[January and February]</w:t>
      </w:r>
      <w:r>
        <w:t xml:space="preserve"> each year. Clients are not moved until the product is ready.</w:t>
      </w:r>
    </w:p>
    <w:p>
      <w:pPr>
        <w:pStyle w:val="ListParagraph"/>
        <w:numPr>
          <w:ilvl w:val="0"/>
          <w:numId w:val="3"/>
        </w:numPr>
        <w:spacing w:after="100" w:line="264" w:lineRule="auto"/>
        <w:jc w:val="both"/>
      </w:pPr>
      <w:r>
        <w:rPr>
          <w:b/>
          <w:bCs/>
        </w:rPr>
        <w:t xml:space="preserve">Banking and payments:</w:t>
      </w:r>
      <w:r>
        <w:t xml:space="preserve"> Keystone operating accounts move to Topkey’s banking platform on the timeline set in the Migration Protocol. Client trust accounts move only after Ben’s written readiness acceptance.</w:t>
      </w:r>
    </w:p>
    <w:p>
      <w:pPr>
        <w:pStyle w:val="ListParagraph"/>
        <w:numPr>
          <w:ilvl w:val="0"/>
          <w:numId w:val="3"/>
        </w:numPr>
        <w:spacing w:after="100" w:line="264" w:lineRule="auto"/>
        <w:jc w:val="both"/>
      </w:pPr>
      <w:r>
        <w:rPr>
          <w:b/>
          <w:bCs/>
        </w:rPr>
        <w:t xml:space="preserve">Brand:</w:t>
      </w:r>
      <w:r>
        <w:t xml:space="preserve"> Keystone continues to operate as “Keystone, a Topkey company” for at least </w:t>
      </w:r>
      <w:r>
        <w:rPr>
          <w:highlight w:val="yellow"/>
        </w:rPr>
        <w:t xml:space="preserve">[24]</w:t>
      </w:r>
      <w:r>
        <w:t xml:space="preserve"> months after closing. Any further change to the brand is a joint decision.</w:t>
      </w:r>
    </w:p>
    <w:p>
      <w:pPr>
        <w:pStyle w:val="ListParagraph"/>
        <w:numPr>
          <w:ilvl w:val="0"/>
          <w:numId w:val="2"/>
        </w:numPr>
        <w:spacing w:after="120" w:line="264" w:lineRule="auto"/>
        <w:jc w:val="both"/>
      </w:pPr>
      <w:r>
        <w:rPr>
          <w:b/>
          <w:bCs/>
        </w:rPr>
        <w:t xml:space="preserve">Other Important Considerations:</w:t>
      </w:r>
    </w:p>
    <w:p>
      <w:pPr>
        <w:pStyle w:val="ListParagraph"/>
        <w:numPr>
          <w:ilvl w:val="1"/>
          <w:numId w:val="2"/>
        </w:numPr>
        <w:spacing w:after="120" w:line="264" w:lineRule="auto"/>
        <w:jc w:val="both"/>
      </w:pPr>
      <w:r>
        <w:rPr>
          <w:b/>
          <w:bCs/>
        </w:rPr>
        <w:t xml:space="preserve">Growth support:</w:t>
      </w:r>
      <w:r>
        <w:t xml:space="preserve"> Keystone becomes Topkey’s exclusive bookkeeping partner for platform customers, and Topkey will transition its existing third-party bookkeeping referral arrangements to Keystone over the 12 months following closing, where the client agrees. With roughly </w:t>
      </w:r>
      <w:r>
        <w:rPr>
          <w:highlight w:val="yellow"/>
        </w:rPr>
        <w:t xml:space="preserve">[325]</w:t>
      </w:r>
      <w:r>
        <w:t xml:space="preserve"> property management companies on the platform today and only a handful using a bookkeeping service through us, this is a meaningful and largely untapped channel. Our planning assumption, which is not a commitment, is that Topkey can refer on the order of </w:t>
      </w:r>
      <w:r>
        <w:rPr>
          <w:highlight w:val="yellow"/>
        </w:rPr>
        <w:t xml:space="preserve">[one]</w:t>
      </w:r>
      <w:r>
        <w:t xml:space="preserve"> new bookkeeping client per month to Keystone. Topkey also supports future tuck-in acquisitions with M&amp;A resources and capital.</w:t>
      </w:r>
    </w:p>
    <w:p>
      <w:pPr>
        <w:pStyle w:val="ListParagraph"/>
        <w:numPr>
          <w:ilvl w:val="1"/>
          <w:numId w:val="2"/>
        </w:numPr>
        <w:spacing w:after="120" w:line="264" w:lineRule="auto"/>
        <w:jc w:val="both"/>
      </w:pPr>
      <w:r>
        <w:rPr>
          <w:b/>
          <w:bCs/>
        </w:rPr>
        <w:t xml:space="preserve">Intercompany arrangements:</w:t>
      </w:r>
      <w:r>
        <w:t xml:space="preserve"> Keystone’s Topkey subscriptions, Topkey engineering support, and the economics of Topkey-referred clients will be set out in a services schedule to the Operating Agreement (the “Services Schedule”), agreed before closing and reviewed annually, on the following principles: (i) Topkey products used by Keystone at </w:t>
      </w:r>
      <w:r>
        <w:rPr>
          <w:highlight w:val="yellow"/>
        </w:rPr>
        <w:t xml:space="preserve">[current pricing / Topkey’s standard partner pricing]</w:t>
      </w:r>
      <w:r>
        <w:t xml:space="preserve">; (ii) Topkey engineering support for Keystone </w:t>
      </w:r>
      <w:r>
        <w:rPr>
          <w:highlight w:val="yellow"/>
        </w:rPr>
        <w:t xml:space="preserve">[provided at no charge, with the resulting software owned by Topkey / charged at cost plus [●]%]</w:t>
      </w:r>
      <w:r>
        <w:t xml:space="preserve">; and (iii) clients referred by Topkey </w:t>
      </w:r>
      <w:r>
        <w:rPr>
          <w:highlight w:val="yellow"/>
        </w:rPr>
        <w:t xml:space="preserve">[carrying no referral fee / carrying a referral fee of [5]% of their first-year revenue]</w:t>
      </w:r>
      <w:r>
        <w:t xml:space="preserve">. Client-facing pricing continues unchanged at closing.</w:t>
      </w:r>
    </w:p>
    <w:p>
      <w:pPr>
        <w:pStyle w:val="ListParagraph"/>
        <w:numPr>
          <w:ilvl w:val="1"/>
          <w:numId w:val="2"/>
        </w:numPr>
        <w:spacing w:after="120" w:line="264" w:lineRule="auto"/>
        <w:jc w:val="both"/>
      </w:pPr>
      <w:r>
        <w:rPr>
          <w:b/>
          <w:bCs/>
        </w:rPr>
        <w:t xml:space="preserve">Intellectual property:</w:t>
      </w:r>
      <w:r>
        <w:t xml:space="preserve"> Keystone’s internally developed tools, including Arch and the practice-management and client-portal build currently under way, transfer with the business, together with all work product of third-party developers engaged on them. Confirmation that this work product has been validly assigned to Keystone is a diligence item. Software developed by Topkey for Keystone after closing will be owned by Topkey and licensed to Keystone </w:t>
      </w:r>
      <w:r>
        <w:rPr>
          <w:highlight w:val="yellow"/>
        </w:rPr>
        <w:t xml:space="preserve">[royalty-free]</w:t>
      </w:r>
      <w:r>
        <w:t xml:space="preserve"> for so long as Topkey holds a majority of Keystone, as set out in the Services Schedule.</w:t>
      </w:r>
    </w:p>
    <w:p>
      <w:pPr>
        <w:pStyle w:val="ListParagraph"/>
        <w:numPr>
          <w:ilvl w:val="1"/>
          <w:numId w:val="2"/>
        </w:numPr>
        <w:spacing w:after="120" w:line="264" w:lineRule="auto"/>
        <w:jc w:val="both"/>
      </w:pPr>
      <w:r>
        <w:rPr>
          <w:b/>
          <w:bCs/>
        </w:rPr>
        <w:t xml:space="preserve">Offshore team:</w:t>
      </w:r>
      <w:r>
        <w:t xml:space="preserve"> Keystone engages its offshore team as direct contractors paid through Wise, with compliance managed by Keystone’s in-house HR manager. No change to the current model is contemplated at closing. Before definitive agreements are signed, the parties will agree a go-forward documentation and compliance approach for the offshore team, including any transition </w:t>
      </w:r>
      <w:r>
        <w:rPr>
          <w:highlight w:val="yellow"/>
        </w:rPr>
        <w:t xml:space="preserve">[for client leads and accounting staff / for the full team]</w:t>
      </w:r>
      <w:r>
        <w:t xml:space="preserve"> to an employer-of-record arrangement, to be completed </w:t>
      </w:r>
      <w:r>
        <w:rPr>
          <w:highlight w:val="yellow"/>
        </w:rPr>
        <w:t xml:space="preserve">[before Topkey’s next priced equity financing / within [12] months after closing]</w:t>
      </w:r>
      <w:r>
        <w:t xml:space="preserve">, with transition costs borne by </w:t>
      </w:r>
      <w:r>
        <w:rPr>
          <w:highlight w:val="yellow"/>
        </w:rPr>
        <w:t xml:space="preserve">[Keystone / Topkey]</w:t>
      </w:r>
      <w:r>
        <w:t xml:space="preserve">. Pre-closing classification matters will be covered by a special indemnity as described in Section 7(h).</w:t>
      </w:r>
    </w:p>
    <w:p>
      <w:pPr>
        <w:pStyle w:val="ListParagraph"/>
        <w:numPr>
          <w:ilvl w:val="1"/>
          <w:numId w:val="2"/>
        </w:numPr>
        <w:spacing w:after="120" w:line="264" w:lineRule="auto"/>
        <w:jc w:val="both"/>
      </w:pPr>
      <w:r>
        <w:rPr>
          <w:b/>
          <w:bCs/>
        </w:rPr>
        <w:t xml:space="preserve">Related-party arrangements:</w:t>
      </w:r>
      <w:r>
        <w:t xml:space="preserve"> Ben’s affiliated recruiting company, </w:t>
      </w:r>
      <w:r>
        <w:rPr>
          <w:highlight w:val="yellow"/>
        </w:rPr>
        <w:t xml:space="preserve">[name to be confirmed]</w:t>
      </w:r>
      <w:r>
        <w:t xml:space="preserve">, will continue to source hires for Keystone on terms no less favorable to Keystone than today, and the parties will document this arrangement before closing. Any new or modified related-party arrangement, including any change to the economics of an existing one, requires the approval of both members.</w:t>
      </w:r>
    </w:p>
    <w:p>
      <w:pPr>
        <w:pStyle w:val="ListParagraph"/>
        <w:numPr>
          <w:ilvl w:val="1"/>
          <w:numId w:val="2"/>
        </w:numPr>
        <w:spacing w:after="120" w:line="264" w:lineRule="auto"/>
        <w:jc w:val="both"/>
      </w:pPr>
      <w:r>
        <w:rPr>
          <w:b/>
          <w:bCs/>
        </w:rPr>
        <w:t xml:space="preserve">Entity and transaction structure:</w:t>
      </w:r>
      <w:r>
        <w:t xml:space="preserve"> Keystone is a </w:t>
      </w:r>
      <w:r>
        <w:rPr>
          <w:highlight w:val="yellow"/>
        </w:rPr>
        <w:t xml:space="preserve">[New Hampshire]</w:t>
      </w:r>
      <w:r>
        <w:t xml:space="preserve"> limited liability company taxed as an S corporation. The transaction structure, including any pre-closing reorganization of Keystone, will be confirmed with tax counsel before definitive agreements are drafted.</w:t>
      </w:r>
    </w:p>
    <w:p>
      <w:pPr>
        <w:pStyle w:val="ListParagraph"/>
        <w:numPr>
          <w:ilvl w:val="1"/>
          <w:numId w:val="2"/>
        </w:numPr>
        <w:spacing w:after="120" w:line="264" w:lineRule="auto"/>
        <w:jc w:val="both"/>
      </w:pPr>
      <w:r>
        <w:rPr>
          <w:b/>
          <w:bCs/>
        </w:rPr>
        <w:t xml:space="preserve">Restrictive covenants:</w:t>
      </w:r>
      <w:r>
        <w:t xml:space="preserve"> Customary non-compete and non-solicitation of clients and employees for 3 years from closing or 12 months after Ben’s employment ends, whichever is later, capped at 5 years from closing in total. The non-compete excludes passive investments and CPA or advisory work outside short-term rental and vacation-rental bookkeeping.</w:t>
      </w:r>
    </w:p>
    <w:p>
      <w:pPr>
        <w:pStyle w:val="ListParagraph"/>
        <w:numPr>
          <w:ilvl w:val="1"/>
          <w:numId w:val="2"/>
        </w:numPr>
        <w:spacing w:after="120" w:line="264" w:lineRule="auto"/>
        <w:jc w:val="both"/>
      </w:pPr>
      <w:r>
        <w:rPr>
          <w:b/>
          <w:bCs/>
        </w:rPr>
        <w:t xml:space="preserve">Representations, warranties &amp; indemnification:</w:t>
      </w:r>
      <w:r>
        <w:t xml:space="preserve"> Customary for a transaction of this size. Indemnification for breaches of general representations will be capped at </w:t>
      </w:r>
      <w:r>
        <w:rPr>
          <w:highlight w:val="yellow"/>
        </w:rPr>
        <w:t xml:space="preserve">[10]</w:t>
      </w:r>
      <w:r>
        <w:t xml:space="preserve">% of the price for the Acquired Interest, subject to a deductible of </w:t>
      </w:r>
      <w:r>
        <w:rPr>
          <w:highlight w:val="yellow"/>
        </w:rPr>
        <w:t xml:space="preserve">[0.75]</w:t>
      </w:r>
      <w:r>
        <w:t xml:space="preserve">% of that price and a survival period of </w:t>
      </w:r>
      <w:r>
        <w:rPr>
          <w:highlight w:val="yellow"/>
        </w:rPr>
        <w:t xml:space="preserve">[15]</w:t>
      </w:r>
      <w:r>
        <w:t xml:space="preserve"> months. Fundamental and tax representations survive until </w:t>
      </w:r>
      <w:r>
        <w:rPr>
          <w:highlight w:val="yellow"/>
        </w:rPr>
        <w:t xml:space="preserve">[60 days after the applicable statute of limitations]</w:t>
      </w:r>
      <w:r>
        <w:t xml:space="preserve"> and are capped at the price for the Acquired Interest. An escrow of 10% of the cash consideration ($65,000) will be funded at closing and held for </w:t>
      </w:r>
      <w:r>
        <w:rPr>
          <w:highlight w:val="yellow"/>
        </w:rPr>
        <w:t xml:space="preserve">[15]</w:t>
      </w:r>
      <w:r>
        <w:t xml:space="preserve"> months. Claims will be satisfied first from the escrow and then, at Topkey’s election, by set-off against the Topkey shares issued at closing, valued at the Reference Valuation. The definitive agreements will also include a special indemnity for pre-closing offshore contractor classification matters</w:t>
      </w:r>
      <w:r>
        <w:rPr>
          <w:highlight w:val="yellow"/>
        </w:rPr>
        <w:t xml:space="preserve">[, capped at [●]]</w:t>
      </w:r>
      <w:r>
        <w:t xml:space="preserve">.</w:t>
      </w:r>
    </w:p>
    <w:p>
      <w:pPr>
        <w:pStyle w:val="ListParagraph"/>
        <w:numPr>
          <w:ilvl w:val="1"/>
          <w:numId w:val="2"/>
        </w:numPr>
        <w:spacing w:after="120" w:line="264" w:lineRule="auto"/>
        <w:jc w:val="both"/>
      </w:pPr>
      <w:r>
        <w:rPr>
          <w:b/>
          <w:bCs/>
        </w:rPr>
        <w:t xml:space="preserve">Conduct of business before closing:</w:t>
      </w:r>
      <w:r>
        <w:t xml:space="preserve"> Between signing and closing, Keystone will operate in the ordinary course consistent with past practice and will consult Topkey before making senior hires, entering into material contracts or making distributions, other than in the ordinary course or as contemplated by Section 1.</w:t>
      </w:r>
    </w:p>
    <w:p>
      <w:pPr>
        <w:pStyle w:val="ListParagraph"/>
        <w:numPr>
          <w:ilvl w:val="0"/>
          <w:numId w:val="2"/>
        </w:numPr>
        <w:spacing w:after="120" w:line="264" w:lineRule="auto"/>
        <w:jc w:val="both"/>
      </w:pPr>
      <w:r>
        <w:rPr>
          <w:b/>
          <w:bCs/>
        </w:rPr>
        <w:t xml:space="preserve">Conditions to Closing:</w:t>
      </w:r>
      <w:r>
        <w:t xml:space="preserve"> Closing will be subject to:</w:t>
      </w:r>
    </w:p>
    <w:p>
      <w:pPr>
        <w:pStyle w:val="ListParagraph"/>
        <w:numPr>
          <w:ilvl w:val="1"/>
          <w:numId w:val="2"/>
        </w:numPr>
        <w:spacing w:after="120" w:line="264" w:lineRule="auto"/>
        <w:jc w:val="both"/>
      </w:pPr>
      <w:r>
        <w:t xml:space="preserve">satisfactory completion of confirmatory diligence;</w:t>
      </w:r>
    </w:p>
    <w:p>
      <w:pPr>
        <w:pStyle w:val="ListParagraph"/>
        <w:numPr>
          <w:ilvl w:val="1"/>
          <w:numId w:val="2"/>
        </w:numPr>
        <w:spacing w:after="120" w:line="264" w:lineRule="auto"/>
        <w:jc w:val="both"/>
      </w:pPr>
      <w:r>
        <w:t xml:space="preserve">negotiation and execution of mutually acceptable definitive agreements, including the purchase agreement, the Operating Agreement (with the Services Schedule and Migration Protocol), Ben’s employment and restrictive covenant agreements, and a joinder to Topkey’s stockholder agreements;</w:t>
      </w:r>
    </w:p>
    <w:p>
      <w:pPr>
        <w:pStyle w:val="ListParagraph"/>
        <w:numPr>
          <w:ilvl w:val="1"/>
          <w:numId w:val="2"/>
        </w:numPr>
        <w:spacing w:after="120" w:line="264" w:lineRule="auto"/>
        <w:jc w:val="both"/>
      </w:pPr>
      <w:r>
        <w:t xml:space="preserve">approval by Topkey’s board of directors and any consents or waivers required from Topkey’s investors, including under its outstanding SAFEs;</w:t>
      </w:r>
    </w:p>
    <w:p>
      <w:pPr>
        <w:pStyle w:val="ListParagraph"/>
        <w:numPr>
          <w:ilvl w:val="1"/>
          <w:numId w:val="2"/>
        </w:numPr>
        <w:spacing w:after="120" w:line="264" w:lineRule="auto"/>
        <w:jc w:val="both"/>
      </w:pPr>
      <w:r>
        <w:t xml:space="preserve">receipt of material third-party consents, including under key vendor, franchise and marketplace agreements; and</w:t>
      </w:r>
    </w:p>
    <w:p>
      <w:pPr>
        <w:pStyle w:val="ListParagraph"/>
        <w:numPr>
          <w:ilvl w:val="1"/>
          <w:numId w:val="2"/>
        </w:numPr>
        <w:spacing w:after="120" w:line="264" w:lineRule="auto"/>
        <w:jc w:val="both"/>
      </w:pPr>
      <w:r>
        <w:t xml:space="preserve">no material adverse change in Keystone’s business before closing.</w:t>
      </w:r>
    </w:p>
    <w:p>
      <w:pPr>
        <w:pStyle w:val="ListParagraph"/>
        <w:numPr>
          <w:ilvl w:val="0"/>
          <w:numId w:val="2"/>
        </w:numPr>
        <w:spacing w:after="120" w:line="264" w:lineRule="auto"/>
        <w:jc w:val="both"/>
      </w:pPr>
      <w:r>
        <w:rPr>
          <w:b/>
          <w:bCs/>
        </w:rPr>
        <w:t xml:space="preserve">Confirmatory Diligence:</w:t>
      </w:r>
      <w:r>
        <w:t xml:space="preserve"> Following signing of this Letter, our due diligence review will cover:</w:t>
      </w:r>
    </w:p>
    <w:p>
      <w:pPr>
        <w:pStyle w:val="ListParagraph"/>
        <w:numPr>
          <w:ilvl w:val="1"/>
          <w:numId w:val="2"/>
        </w:numPr>
        <w:spacing w:after="120" w:line="264" w:lineRule="auto"/>
        <w:jc w:val="both"/>
      </w:pPr>
      <w:r>
        <w:t xml:space="preserve">Quality of earnings and normalized working capital;</w:t>
      </w:r>
    </w:p>
    <w:p>
      <w:pPr>
        <w:pStyle w:val="ListParagraph"/>
        <w:numPr>
          <w:ilvl w:val="1"/>
          <w:numId w:val="2"/>
        </w:numPr>
        <w:spacing w:after="120" w:line="264" w:lineRule="auto"/>
        <w:jc w:val="both"/>
      </w:pPr>
      <w:r>
        <w:t xml:space="preserve">Client contracts, retention and churn, including revenue per client and properties per client;</w:t>
      </w:r>
    </w:p>
    <w:p>
      <w:pPr>
        <w:pStyle w:val="ListParagraph"/>
        <w:numPr>
          <w:ilvl w:val="1"/>
          <w:numId w:val="2"/>
        </w:numPr>
        <w:spacing w:after="120" w:line="264" w:lineRule="auto"/>
        <w:jc w:val="both"/>
      </w:pPr>
      <w:r>
        <w:t xml:space="preserve">Employee and contractor roster, including classification and compliance position of the offshore team;</w:t>
      </w:r>
    </w:p>
    <w:p>
      <w:pPr>
        <w:pStyle w:val="ListParagraph"/>
        <w:numPr>
          <w:ilvl w:val="1"/>
          <w:numId w:val="2"/>
        </w:numPr>
        <w:spacing w:after="120" w:line="264" w:lineRule="auto"/>
        <w:jc w:val="both"/>
      </w:pPr>
      <w:r>
        <w:t xml:space="preserve">Software and vendor contracts and their assignability, including VR Platform and Karbon;</w:t>
      </w:r>
    </w:p>
    <w:p>
      <w:pPr>
        <w:pStyle w:val="ListParagraph"/>
        <w:numPr>
          <w:ilvl w:val="1"/>
          <w:numId w:val="2"/>
        </w:numPr>
        <w:spacing w:after="120" w:line="264" w:lineRule="auto"/>
        <w:jc w:val="both"/>
      </w:pPr>
      <w:r>
        <w:t xml:space="preserve">Ownership and assignability of internally developed software and third-party developer work product;</w:t>
      </w:r>
    </w:p>
    <w:p>
      <w:pPr>
        <w:pStyle w:val="ListParagraph"/>
        <w:numPr>
          <w:ilvl w:val="1"/>
          <w:numId w:val="2"/>
        </w:numPr>
        <w:spacing w:after="120" w:line="264" w:lineRule="auto"/>
        <w:jc w:val="both"/>
      </w:pPr>
      <w:r>
        <w:t xml:space="preserve">Franchise, marketplace and referral agreements and their assignability, including PMI and the PMS marketplaces;</w:t>
      </w:r>
    </w:p>
    <w:p>
      <w:pPr>
        <w:pStyle w:val="ListParagraph"/>
        <w:numPr>
          <w:ilvl w:val="1"/>
          <w:numId w:val="2"/>
        </w:numPr>
        <w:spacing w:after="120" w:line="264" w:lineRule="auto"/>
        <w:jc w:val="both"/>
      </w:pPr>
      <w:r>
        <w:t xml:space="preserve">Revenue-share and affiliate arrangements with software, banking and payments partners; and</w:t>
      </w:r>
    </w:p>
    <w:p>
      <w:pPr>
        <w:pStyle w:val="ListParagraph"/>
        <w:numPr>
          <w:ilvl w:val="1"/>
          <w:numId w:val="2"/>
        </w:numPr>
        <w:spacing w:after="120" w:line="264" w:lineRule="auto"/>
        <w:jc w:val="both"/>
      </w:pPr>
      <w:r>
        <w:t xml:space="preserve">Entity, tax and state filing status, including Keystone’s formation documents and S corporation election.</w:t>
      </w:r>
    </w:p>
    <w:p>
      <w:pPr>
        <w:spacing w:after="160" w:line="264" w:lineRule="auto"/>
        <w:ind w:left="360"/>
        <w:jc w:val="both"/>
      </w:pPr>
      <w:r>
        <w:t xml:space="preserve">Topkey will likewise give Ben and his advisors reasonable access to information about Topkey, including its financial statements, capitalization and the terms of its outstanding SAFEs, so that Ben can evaluate the Topkey equity he will receive.</w:t>
      </w:r>
    </w:p>
    <w:p>
      <w:pPr>
        <w:pStyle w:val="ListParagraph"/>
        <w:numPr>
          <w:ilvl w:val="0"/>
          <w:numId w:val="2"/>
        </w:numPr>
        <w:spacing w:after="120" w:line="264" w:lineRule="auto"/>
        <w:jc w:val="both"/>
      </w:pPr>
      <w:r>
        <w:rPr>
          <w:b/>
          <w:bCs/>
        </w:rPr>
        <w:t xml:space="preserve">Timeline:</w:t>
      </w:r>
      <w:r>
        <w:t xml:space="preserve"> Our proposed path to closing is as follows: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highlight w:val="yellow"/>
              </w:rPr>
              <w:t xml:space="preserve">[October ●,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Sign LOI</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highlight w:val="yellow"/>
              </w:rPr>
              <w:t xml:space="preserve">[October]</w:t>
            </w:r>
            <w:r>
              <w:rPr>
                <w:b/>
                <w:bCs/>
              </w:rPr>
              <w:t xml:space="preserve"> – mid-December</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Confirmatory diligence, definitive agreements (including the Operating Agreement, Services Schedule and Migration Protocol), and integration planning</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highlight w:val="yellow"/>
              </w:rPr>
              <w:t xml:space="preserve">[December 18,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Sign closing documents and fund the escrow account</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highlight w:val="yellow"/>
              </w:rPr>
              <w:t xml:space="preserve">[January 2, 2027]</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Effective closing date</w:t>
            </w:r>
          </w:p>
        </w:tc>
      </w:tr>
    </w:tbl>
    <w:p>
      <w:pPr>
        <w:spacing w:after="120"/>
      </w:pPr>
    </w:p>
    <w:p>
      <w:pPr>
        <w:spacing w:before="280" w:after="140"/>
      </w:pPr>
      <w:r>
        <w:rPr>
          <w:b/>
          <w:bCs/>
          <w:color w:val="7A0000"/>
          <w:sz w:val="24"/>
          <w:szCs w:val="24"/>
          <w:u w:val="single"/>
        </w:rPr>
        <w:t xml:space="preserve">Agreement and Signature</w:t>
      </w:r>
    </w:p>
    <w:p>
      <w:pPr>
        <w:spacing w:after="160" w:line="264" w:lineRule="auto"/>
        <w:jc w:val="both"/>
      </w:pPr>
      <w:r>
        <w:t xml:space="preserve">If the above framework is acceptable to you, our goal would be to move efficiently towards a transaction. Your signature to this letter below confirms that you agree to:</w:t>
      </w:r>
    </w:p>
    <w:p>
      <w:pPr>
        <w:pStyle w:val="ListParagraph"/>
        <w:numPr>
          <w:ilvl w:val="0"/>
          <w:numId w:val="4"/>
        </w:numPr>
        <w:spacing w:after="140" w:line="264" w:lineRule="auto"/>
        <w:jc w:val="both"/>
      </w:pPr>
      <w:r>
        <w:rPr>
          <w:b/>
          <w:bCs/>
        </w:rPr>
        <w:t xml:space="preserve">Exclusivity:</w:t>
      </w:r>
      <w:r>
        <w:t xml:space="preserve"> You agree that for </w:t>
      </w:r>
      <w:r>
        <w:rPr>
          <w:highlight w:val="yellow"/>
        </w:rPr>
        <w:t xml:space="preserve">[90]</w:t>
      </w:r>
      <w:r>
        <w:t xml:space="preserve"> days from the date of this Letter, you, Keystone and your and its representatives will cease, and will not engage in, communications with other parties regarding a potential transaction, or any transaction that resembles an acquisition — mergers, loans, minority investments, or the like. You will notify us if you receive any indications of interest, requests for information, or offers that resemble a transaction. Unless you send a notice by the expiration of the exclusivity period, the exclusivity period will automatically extend once, for a single additional </w:t>
      </w:r>
      <w:r>
        <w:rPr>
          <w:highlight w:val="yellow"/>
        </w:rPr>
        <w:t xml:space="preserve">[30]</w:t>
      </w:r>
      <w:r>
        <w:t xml:space="preserve">-day period, after which it expires. The exclusivity period ends immediately if Topkey terminates this Letter or notifies you that it no longer intends to pursue the transaction.</w:t>
      </w:r>
    </w:p>
    <w:p>
      <w:pPr>
        <w:pStyle w:val="ListParagraph"/>
        <w:numPr>
          <w:ilvl w:val="0"/>
          <w:numId w:val="4"/>
        </w:numPr>
        <w:spacing w:after="140" w:line="264" w:lineRule="auto"/>
        <w:jc w:val="both"/>
      </w:pPr>
      <w:r>
        <w:rPr>
          <w:b/>
          <w:bCs/>
        </w:rPr>
        <w:t xml:space="preserve">Access for due diligence:</w:t>
      </w:r>
      <w:r>
        <w:t xml:space="preserve"> You agree to allow us access to company records and, where necessary, key employees (with your prior consent), for the purpose of completing a due diligence review covering the areas described above.</w:t>
      </w:r>
    </w:p>
    <w:p>
      <w:pPr>
        <w:pStyle w:val="ListParagraph"/>
        <w:numPr>
          <w:ilvl w:val="0"/>
          <w:numId w:val="4"/>
        </w:numPr>
        <w:spacing w:after="140" w:line="264" w:lineRule="auto"/>
        <w:jc w:val="both"/>
      </w:pPr>
      <w:r>
        <w:rPr>
          <w:b/>
          <w:bCs/>
        </w:rPr>
        <w:t xml:space="preserve">Definitive agreements:</w:t>
      </w:r>
      <w:r>
        <w:t xml:space="preserve"> While this Letter includes the key economic points, the terms in this Letter are only part of the definitive agreements we will sign. You and we agree that this Letter is non-binding, except for Sections 1, 2 and 4 through 9 of this “Agreement and Signature” section (the “Binding Provisions”), and that no contract to purchase exists until we negotiate and sign definitive agreements. In addition to the items listed above, those agreements will include terms customary for transactions like this — representations, warranties, conditions, covenants, indemnities, indemnification caps and baskets, ancillary agreements, and restrictive covenants — each to be mutually agreed upon by the parties.</w:t>
      </w:r>
    </w:p>
    <w:p>
      <w:pPr>
        <w:pStyle w:val="ListParagraph"/>
        <w:numPr>
          <w:ilvl w:val="0"/>
          <w:numId w:val="4"/>
        </w:numPr>
        <w:spacing w:after="140" w:line="264" w:lineRule="auto"/>
        <w:jc w:val="both"/>
      </w:pPr>
      <w:r>
        <w:rPr>
          <w:b/>
          <w:bCs/>
        </w:rPr>
        <w:t xml:space="preserve">Confidentiality:</w:t>
      </w:r>
      <w:r>
        <w:t xml:space="preserve"> The Non-Disclosure Agreement between Keystone and Topkey dated </w:t>
      </w:r>
      <w:r>
        <w:rPr>
          <w:highlight w:val="yellow"/>
        </w:rPr>
        <w:t xml:space="preserve">[date]</w:t>
      </w:r>
      <w:r>
        <w:t xml:space="preserve"> remains in full force and effect. All discussions, negotiations, and information exchanged in connection with this Letter are confidential information governed by that agreement. In addition, the existence and terms of this Letter will be kept strictly confidential and will not be disclosed to any third party without the prior written consent of both parties, except to each party’s advisors, investors and financing sources who are bound by confidentiality obligations, or as required by law.</w:t>
      </w:r>
    </w:p>
    <w:p>
      <w:pPr>
        <w:pStyle w:val="ListParagraph"/>
        <w:numPr>
          <w:ilvl w:val="0"/>
          <w:numId w:val="4"/>
        </w:numPr>
        <w:spacing w:after="140" w:line="264" w:lineRule="auto"/>
        <w:jc w:val="both"/>
      </w:pPr>
      <w:r>
        <w:rPr>
          <w:b/>
          <w:bCs/>
        </w:rPr>
        <w:t xml:space="preserve">Expenses:</w:t>
      </w:r>
      <w:r>
        <w:t xml:space="preserve"> Each party will bear its own legal, accounting, tax and other advisory expenses in connection with this Letter and the transaction, whether or not it is completed</w:t>
      </w:r>
      <w:r>
        <w:rPr>
          <w:highlight w:val="yellow"/>
        </w:rPr>
        <w:t xml:space="preserve">[, except that the fees of jointly engaged tax counsel will be [borne by Topkey / shared equally]]</w:t>
      </w:r>
      <w:r>
        <w:t xml:space="preserve">.</w:t>
      </w:r>
    </w:p>
    <w:p>
      <w:pPr>
        <w:pStyle w:val="ListParagraph"/>
        <w:numPr>
          <w:ilvl w:val="0"/>
          <w:numId w:val="4"/>
        </w:numPr>
        <w:spacing w:after="140" w:line="264" w:lineRule="auto"/>
        <w:jc w:val="both"/>
      </w:pPr>
      <w:r>
        <w:rPr>
          <w:b/>
          <w:bCs/>
        </w:rPr>
        <w:t xml:space="preserve">Termination:</w:t>
      </w:r>
      <w:r>
        <w:t xml:space="preserve"> Either party may terminate this Letter at any time by written notice to the other party. This Letter terminates automatically if definitive agreements have not been signed by </w:t>
      </w:r>
      <w:r>
        <w:rPr>
          <w:highlight w:val="yellow"/>
        </w:rPr>
        <w:t xml:space="preserve">[date]</w:t>
      </w:r>
      <w:r>
        <w:t xml:space="preserve">. Sections 4 through 9 of this “Agreement and Signature” section survive any termination. Section 1 (Exclusivity) survives a termination by you or Keystone until the exclusivity period expires, but ends on a termination by Topkey.</w:t>
      </w:r>
    </w:p>
    <w:p>
      <w:pPr>
        <w:pStyle w:val="ListParagraph"/>
        <w:numPr>
          <w:ilvl w:val="0"/>
          <w:numId w:val="4"/>
        </w:numPr>
        <w:spacing w:after="140" w:line="264" w:lineRule="auto"/>
        <w:jc w:val="both"/>
      </w:pPr>
      <w:r>
        <w:rPr>
          <w:b/>
          <w:bCs/>
        </w:rPr>
        <w:t xml:space="preserve">Assignment:</w:t>
      </w:r>
      <w:r>
        <w:t xml:space="preserve"> The rights and obligations of the parties under this Letter will not be assignable in whole or in part by either party without the other party’s prior written consent, which shall not be unreasonably withheld, except that Topkey may assign its rights to a wholly owned subsidiary that will hold the Acquired Interest.</w:t>
      </w:r>
    </w:p>
    <w:p>
      <w:pPr>
        <w:pStyle w:val="ListParagraph"/>
        <w:numPr>
          <w:ilvl w:val="0"/>
          <w:numId w:val="4"/>
        </w:numPr>
        <w:spacing w:after="140" w:line="264" w:lineRule="auto"/>
        <w:jc w:val="both"/>
      </w:pPr>
      <w:r>
        <w:rPr>
          <w:b/>
          <w:bCs/>
        </w:rPr>
        <w:t xml:space="preserve">Governing law:</w:t>
      </w:r>
      <w:r>
        <w:t xml:space="preserve"> This Letter and any claims arising out of or relating to it shall be governed by and construed in accordance with the laws of the State of Delaware, without regard to conflict of law principles.</w:t>
      </w:r>
    </w:p>
    <w:p>
      <w:pPr>
        <w:pStyle w:val="ListParagraph"/>
        <w:numPr>
          <w:ilvl w:val="0"/>
          <w:numId w:val="4"/>
        </w:numPr>
        <w:spacing w:after="140" w:line="264" w:lineRule="auto"/>
        <w:jc w:val="both"/>
      </w:pPr>
      <w:r>
        <w:rPr>
          <w:b/>
          <w:bCs/>
        </w:rPr>
        <w:t xml:space="preserve">Counterparts:</w:t>
      </w:r>
      <w:r>
        <w:t xml:space="preserve"> This Letter may be signed in counterparts and by electronic signature, each of which will be deemed an original and all of which together constitute one instrument.</w:t>
      </w:r>
    </w:p>
    <w:p>
      <w:pPr>
        <w:spacing w:before="200" w:after="200"/>
        <w:jc w:val="center"/>
      </w:pPr>
      <w:r>
        <w:rPr>
          <w:i/>
          <w:iCs/>
        </w:rPr>
        <w:t xml:space="preserve">[Signatures on the following page]</w:t>
      </w:r>
    </w:p>
    <w:p>
      <w:pPr>
        <w:pageBreakBefore/>
      </w:pPr>
    </w:p>
    <w:p>
      <w:pPr>
        <w:spacing w:before="280" w:after="140"/>
      </w:pPr>
      <w:r>
        <w:rPr>
          <w:b/>
          <w:bCs/>
          <w:color w:val="7A0000"/>
          <w:sz w:val="24"/>
          <w:szCs w:val="24"/>
          <w:u w:val="single"/>
        </w:rPr>
        <w:t xml:space="preserve">Signatures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C4635" w14:paraId="1343E2B6" w14:textId="77777777">
        <w:tc>
          <w:tcPr>
            <w:tcW w:w="10080" w:type="dxa"/>
            <w:gridSpan w:val="2"/>
            <w:tcBorders>
              <w:top w:val="single" w:sz="4" w:space="0" w:color="D8D0C6"/>
              <w:left w:val="single" w:sz="4" w:space="0" w:color="D8D0C6"/>
              <w:bottom w:val="single" w:sz="4" w:space="0" w:color="D8D0C6"/>
              <w:right w:val="single" w:sz="4" w:space="0" w:color="D8D0C6"/>
            </w:tcBorders>
            <w:shd w:val="clear" w:color="auto" w:fill="F2EEE9"/>
            <w:tcMar>
              <w:top w:w="100" w:type="dxa"/>
              <w:left w:w="120" w:type="dxa"/>
              <w:bottom w:w="100" w:type="dxa"/>
              <w:right w:w="120" w:type="dxa"/>
            </w:tcMar>
          </w:tcPr>
          <w:p w14:paraId="3DEEF543" w14:textId="77777777" w:rsidR="005C4635" w:rsidRDefault="00000000">
            <w:r>
              <w:rPr>
                <w:b/>
                <w:bCs/>
              </w:rPr>
              <w:t xml:space="preserve">Keystone Bookkeepers, </w:t>
            </w:r>
            <w:r>
              <w:rPr>
                <w:highlight w:val="yellow"/>
              </w:rPr>
              <w:t>[LLC], a [New Hampshire] limited liability company</w:t>
            </w:r>
          </w:p>
        </w:tc>
      </w:tr>
      <w:tr w:rsidR="005C4635" w14:paraId="12E304A5" w14:textId="77777777">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E5D0BA7" w14:textId="77777777" w:rsidR="005C4635" w:rsidRDefault="00000000">
            <w:pPr>
              <w:spacing w:line="264" w:lineRule="auto"/>
            </w:pPr>
            <w:r>
              <w:t>By: ______________________________</w:t>
            </w:r>
          </w:p>
          <w:p w14:paraId="4294CD99" w14:textId="77777777" w:rsidR="005C4635" w:rsidRDefault="005C4635">
            <w:pPr>
              <w:spacing w:line="264" w:lineRule="auto"/>
            </w:pPr>
          </w:p>
          <w:p w14:paraId="61A04ECE" w14:textId="77777777" w:rsidR="005C4635" w:rsidRDefault="00000000">
            <w:pPr>
              <w:spacing w:line="264" w:lineRule="auto"/>
            </w:pPr>
            <w:r>
              <w:t xml:space="preserve">Name: </w:t>
            </w:r>
            <w:r>
              <w:rPr>
                <w:highlight w:val="yellow"/>
              </w:rPr>
              <w:t>[Ben — full legal name]</w:t>
            </w:r>
          </w:p>
          <w:p w14:paraId="5DFC2813" w14:textId="77777777" w:rsidR="005C4635" w:rsidRDefault="00000000">
            <w:pPr>
              <w:spacing w:line="264" w:lineRule="auto"/>
            </w:pPr>
            <w:r>
              <w:t xml:space="preserve">Its: </w:t>
            </w:r>
            <w:r>
              <w:rPr>
                <w:highlight w:val="yellow"/>
              </w:rPr>
              <w:t>[Sole Member], and individually</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D9A48AE" w14:textId="77777777" w:rsidR="005C4635" w:rsidRDefault="005C4635">
            <w:pPr>
              <w:spacing w:line="264" w:lineRule="auto"/>
            </w:pPr>
          </w:p>
        </w:tc>
      </w:tr>
      <w:tr w:rsidR="005C4635" w14:paraId="70211706" w14:textId="77777777">
        <w:tc>
          <w:tcPr>
            <w:tcW w:w="10080" w:type="dxa"/>
            <w:gridSpan w:val="2"/>
            <w:tcBorders>
              <w:top w:val="single" w:sz="4" w:space="0" w:color="D8D0C6"/>
              <w:left w:val="single" w:sz="4" w:space="0" w:color="D8D0C6"/>
              <w:bottom w:val="single" w:sz="4" w:space="0" w:color="D8D0C6"/>
              <w:right w:val="single" w:sz="4" w:space="0" w:color="D8D0C6"/>
            </w:tcBorders>
            <w:shd w:val="clear" w:color="auto" w:fill="F2EEE9"/>
            <w:tcMar>
              <w:top w:w="100" w:type="dxa"/>
              <w:left w:w="120" w:type="dxa"/>
              <w:bottom w:w="100" w:type="dxa"/>
              <w:right w:w="120" w:type="dxa"/>
            </w:tcMar>
          </w:tcPr>
          <w:p w14:paraId="2A35E1B8" w14:textId="77777777" w:rsidR="005C4635" w:rsidRDefault="00000000">
            <w:r>
              <w:rPr>
                <w:b/>
                <w:bCs/>
              </w:rPr>
              <w:t xml:space="preserve">Topkey </w:t>
            </w:r>
            <w:r>
              <w:rPr>
                <w:highlight w:val="yellow"/>
              </w:rPr>
              <w:t>[full legal entity name, state of formation and headquarters to be confirmed]</w:t>
            </w:r>
          </w:p>
        </w:tc>
      </w:tr>
      <w:tr w:rsidR="005C4635" w14:paraId="14B8C1E5" w14:textId="77777777">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07D3073" w14:textId="77777777" w:rsidR="005C4635" w:rsidRDefault="00000000">
            <w:pPr>
              <w:spacing w:line="264" w:lineRule="auto"/>
            </w:pPr>
            <w:r>
              <w:t>By: ______________________________</w:t>
            </w:r>
          </w:p>
          <w:p w14:paraId="1DB87B94" w14:textId="77777777" w:rsidR="005C4635" w:rsidRDefault="005C4635">
            <w:pPr>
              <w:spacing w:line="264" w:lineRule="auto"/>
            </w:pPr>
          </w:p>
          <w:p w14:paraId="4969A166" w14:textId="77777777" w:rsidR="005C4635" w:rsidRDefault="00000000">
            <w:pPr>
              <w:spacing w:line="264" w:lineRule="auto"/>
            </w:pPr>
            <w:r>
              <w:t xml:space="preserve">Name: </w:t>
            </w:r>
            <w:r>
              <w:rPr>
                <w:highlight w:val="yellow"/>
              </w:rPr>
              <w:t>[name]</w:t>
            </w:r>
          </w:p>
          <w:p w14:paraId="7461AE94" w14:textId="77777777" w:rsidR="005C4635" w:rsidRDefault="00000000">
            <w:pPr>
              <w:spacing w:line="264" w:lineRule="auto"/>
            </w:pPr>
            <w:r>
              <w:t xml:space="preserve">Its: </w:t>
            </w:r>
            <w:r>
              <w:rPr>
                <w:highlight w:val="yellow"/>
              </w:rPr>
              <w:t>[title]</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2734C83" w14:textId="77777777" w:rsidR="005C4635" w:rsidRDefault="00000000">
            <w:pPr>
              <w:spacing w:line="264" w:lineRule="auto"/>
            </w:pPr>
            <w:r>
              <w:t>By: ______________________________</w:t>
            </w:r>
          </w:p>
          <w:p w14:paraId="7C4B3B64" w14:textId="77777777" w:rsidR="005C4635" w:rsidRDefault="005C4635">
            <w:pPr>
              <w:spacing w:line="264" w:lineRule="auto"/>
            </w:pPr>
          </w:p>
          <w:p w14:paraId="6D326A8E" w14:textId="77777777" w:rsidR="005C4635" w:rsidRDefault="00000000">
            <w:pPr>
              <w:spacing w:line="264" w:lineRule="auto"/>
            </w:pPr>
            <w:r>
              <w:t xml:space="preserve">Name: </w:t>
            </w:r>
            <w:r>
              <w:rPr>
                <w:highlight w:val="yellow"/>
              </w:rPr>
              <w:t>[name]</w:t>
            </w:r>
          </w:p>
          <w:p w14:paraId="422EB3E9" w14:textId="77777777" w:rsidR="005C4635" w:rsidRDefault="00000000">
            <w:pPr>
              <w:spacing w:line="264" w:lineRule="auto"/>
            </w:pPr>
            <w:r>
              <w:t xml:space="preserve">Its: </w:t>
            </w:r>
            <w:r>
              <w:rPr>
                <w:highlight w:val="yellow"/>
              </w:rPr>
              <w:t>[title]</w:t>
            </w:r>
          </w:p>
        </w:tc>
      </w:tr>
    </w:tbl>
    <w:p>
      <w:pPr>
        <w:spacing w:before="320"/>
        <w:jc w:val="both"/>
      </w:pPr>
      <w:r>
        <w:rPr>
          <w:i/>
          <w:iCs/>
          <w:color w:val="595959"/>
          <w:sz w:val="16"/>
          <w:szCs w:val="16"/>
        </w:rPr>
        <w:t xml:space="preserve">This Letter is a non-binding expression of interest for discussion purposes only, except for the Binding Provisions described in Section 3 of “Agreement and Signature.” Binding obligations otherwise arise only under executed definitive agreements. Items shown in </w:t>
      </w:r>
      <w:r>
        <w:rPr>
          <w:i/>
          <w:iCs/>
          <w:color w:val="595959"/>
          <w:sz w:val="16"/>
          <w:szCs w:val="16"/>
        </w:rPr>
        <w:t xml:space="preserve">[brackets]</w:t>
      </w:r>
      <w:r>
        <w:rPr>
          <w:i/>
          <w:iCs/>
          <w:color w:val="595959"/>
          <w:sz w:val="16"/>
          <w:szCs w:val="16"/>
        </w:rPr>
        <w:t xml:space="preserve"> and highlighted remain open for discussion and confirmation.</w:t>
      </w:r>
    </w:p>
    <w:p>
      <w:pPr>
        <w:pageBreakBefore/>
      </w:pPr>
    </w:p>
    <w:p>
      <w:pPr>
        <w:spacing w:before="280" w:after="140"/>
      </w:pPr>
      <w:r>
        <w:rPr>
          <w:b/>
          <w:bCs/>
          <w:color w:val="7A0000"/>
          <w:sz w:val="24"/>
          <w:szCs w:val="24"/>
          <w:u w:val="single"/>
        </w:rPr>
        <w:t xml:space="preserve">Exhibit A – Keystone Operating Agreement: Summary of Principal Terms</w:t>
      </w:r>
    </w:p>
    <w:p>
      <w:pPr>
        <w:spacing w:after="160" w:line="264" w:lineRule="auto"/>
        <w:jc w:val="both"/>
      </w:pPr>
      <w:r>
        <w:t xml:space="preserve">This summary is non-binding and is intended to guide the drafting of the Operating Agreement. Section references are to the Letter.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Members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Topkey (70%) and Ben </w:t>
            </w:r>
            <w:r>
              <w:rPr>
                <w:highlight w:val="yellow"/>
              </w:rPr>
              <w:t xml:space="preserve">[or his holding company]</w:t>
            </w:r>
            <w:r>
              <w:t xml:space="preserve"> (30%).</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Management</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Keystone is managed by a board of </w:t>
            </w:r>
            <w:r>
              <w:rPr>
                <w:highlight w:val="yellow"/>
              </w:rPr>
              <w:t xml:space="preserve">[three]</w:t>
            </w:r>
            <w:r>
              <w:t xml:space="preserve"> managers: </w:t>
            </w:r>
            <w:r>
              <w:rPr>
                <w:highlight w:val="yellow"/>
              </w:rPr>
              <w:t xml:space="preserve">[two]</w:t>
            </w:r>
            <w:r>
              <w:t xml:space="preserve"> appointed by Topkey and </w:t>
            </w:r>
            <w:r>
              <w:rPr>
                <w:highlight w:val="yellow"/>
              </w:rPr>
              <w:t xml:space="preserve">[one]</w:t>
            </w:r>
            <w:r>
              <w:t xml:space="preserve"> appointed by Ben for so long as he holds the Retained Interest. Ben serves as President of Keystone.</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Ben’s authority</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Day-to-day operation of Keystone within the approved budget, as described in Section 6.</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Approval matters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Matters requiring Topkey approval and matters requiring approval of both members, as listed in Section 6.</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Budget and deadlock</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Annual budget prepared by Ben and approved by the board. Escalation and mediation as described in Section 6; the prior year’s budget applies while a dispute is pending.</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Distributions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Quarterly tax distributions to all members pro rata, calculated at an assumed combined rate of </w:t>
            </w:r>
            <w:r>
              <w:rPr>
                <w:highlight w:val="yellow"/>
              </w:rPr>
              <w:t xml:space="preserve">[●]</w:t>
            </w:r>
            <w:r>
              <w:t xml:space="preserve">% and after any entity-level taxes paid by Keystone. Other distributions as approved by the board, pro rata.</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Services Schedule</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Pricing of Topkey subscriptions and services provided to Keystone; Topkey engineering support; economics of Topkey-referred clients; ownership of software developed after closing (owned by Topkey and licensed to Keystone), each on the principles in Section 7(b). Reviewed annually and changed only with approval of both members.</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Migration Protocol</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Readiness criteria for moving clients to Topkey products; Ben’s written acceptance for each client cohort; no client migrations from </w:t>
            </w:r>
            <w:r>
              <w:rPr>
                <w:highlight w:val="yellow"/>
              </w:rPr>
              <w:t xml:space="preserve">[January 1 to February 28]</w:t>
            </w:r>
            <w:r>
              <w:t xml:space="preserve"> each year; client trust accounts migrate last.</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Brand</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“Keystone, a Topkey company” for at least </w:t>
            </w:r>
            <w:r>
              <w:rPr>
                <w:highlight w:val="yellow"/>
              </w:rPr>
              <w:t xml:space="preserve">[24]</w:t>
            </w:r>
            <w:r>
              <w:t xml:space="preserve"> months after closing; further changes require approval of both members.</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Transfers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No transfers without Topkey’s consent, other than to Ben’s affiliates or estate-planning vehicles; right of first refusal in favor of Topkey; tag-along for Ben on any transfer by Topkey; drag-along in favor of Topkey on a sale of Keystone or a change of control of Topkey, at the price described in Section 4.</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Consent rights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Limited to the matters requiring approval of both members in Section 6; not to be unreasonably withheld, conditioned or delayed; not required for actions within the approved budget, Migration Protocol, brand path or Services Schedule.</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Call and put rights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As described in Section 4, including the Formula Price and payment terms. No equity financing of Topkey triggers the put or is itself a change of control</w:t>
            </w:r>
            <w:r>
              <w:rPr>
                <w:highlight w:val="yellow"/>
              </w:rPr>
              <w:t xml:space="preserve">[; cash payable in any 12-month period capped at $[●]]</w:t>
            </w:r>
            <w:r>
              <w:t xml:space="preserve">.</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Information rights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Monthly management accounts, annual financial statements and the annual budget.</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Member covenants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Non-competition and non-solicitation consistent with Section 7(g); confidentiality.</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Tax matters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Topkey serves as partnership representative. Tax elections and allocations as agreed with jointly engaged tax counsel.</w:t>
            </w:r>
          </w:p>
        </w:tc>
      </w:tr>
      <w:tr>
        <w:trPr>
          <w:cantSplit/>
        </w:trPr>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pPr>
              <w:spacing w:line="264" w:lineRule="auto"/>
            </w:pPr>
            <w:r>
              <w:rPr>
                <w:b/>
                <w:bCs/>
              </w:rPr>
              <w:t xml:space="preserve">Dispute resolution</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pPr>
              <w:spacing w:line="264" w:lineRule="auto"/>
            </w:pPr>
            <w:r>
              <w:t xml:space="preserve">Escalation, then non-binding mediation, then </w:t>
            </w:r>
            <w:r>
              <w:rPr>
                <w:highlight w:val="yellow"/>
              </w:rPr>
              <w:t xml:space="preserve">[arbitration / the courts of the State of Delaware]</w:t>
            </w:r>
            <w:r>
              <w:t xml:space="preserve">.</w:t>
            </w:r>
          </w:p>
        </w:tc>
      </w:tr>
    </w:tbl>
    <w:sectPr w:rsidR="005C4635">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C13CC" w14:textId="77777777" w:rsidR="00176FCB" w:rsidRDefault="00176FCB">
      <w:r>
        <w:separator/>
      </w:r>
    </w:p>
  </w:endnote>
  <w:endnote w:type="continuationSeparator" w:id="0">
    <w:p w14:paraId="2563E1A0" w14:textId="77777777" w:rsidR="00176FCB" w:rsidRDefault="00176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4706" w14:textId="77777777" w:rsidR="00311EC2" w:rsidRDefault="00311E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4254A" w14:textId="77777777" w:rsidR="005C4635" w:rsidRDefault="00000000">
    <w:pPr>
      <w:tabs>
        <w:tab w:val="right" w:pos="10080"/>
      </w:tabs>
    </w:pPr>
    <w:r>
      <w:rPr>
        <w:color w:val="595959"/>
        <w:sz w:val="16"/>
        <w:szCs w:val="16"/>
      </w:rPr>
      <w:t>Confidential | Non-Binding Draft</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11EC2">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096E" w14:textId="77777777" w:rsidR="00311EC2" w:rsidRDefault="00311E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ED7C4" w14:textId="77777777" w:rsidR="00176FCB" w:rsidRDefault="00176FCB">
      <w:r>
        <w:separator/>
      </w:r>
    </w:p>
  </w:footnote>
  <w:footnote w:type="continuationSeparator" w:id="0">
    <w:p w14:paraId="5E16BB4B" w14:textId="77777777" w:rsidR="00176FCB" w:rsidRDefault="00176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A7B1" w14:textId="77777777" w:rsidR="00311EC2" w:rsidRDefault="00311E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3AD0" w14:textId="77777777" w:rsidR="005C4635" w:rsidRDefault="00000000">
    <w:pPr>
      <w:shd w:val="clear" w:color="auto" w:fill="9A0033"/>
      <w:spacing w:after="240"/>
      <w:jc w:val="center"/>
    </w:pPr>
    <w:r>
      <w:rPr>
        <w:b/>
        <w:bCs/>
        <w:color w:val="FFFFFF"/>
      </w:rPr>
      <w:t>CONFIDENTIAL  —  LETTER OF INTENT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7E7E" w14:textId="77777777" w:rsidR="00311EC2" w:rsidRDefault="00311E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A0F01"/>
    <w:multiLevelType w:val="hybridMultilevel"/>
    <w:tmpl w:val="D1A2F504"/>
    <w:lvl w:ilvl="0" w:tplc="5908F3CA">
      <w:start w:val="1"/>
      <w:numFmt w:val="bullet"/>
      <w:lvlText w:val="●"/>
      <w:lvlJc w:val="left"/>
      <w:pPr>
        <w:ind w:left="720" w:hanging="360"/>
      </w:pPr>
    </w:lvl>
    <w:lvl w:ilvl="1" w:tplc="0E8445F8">
      <w:start w:val="1"/>
      <w:numFmt w:val="bullet"/>
      <w:lvlText w:val="○"/>
      <w:lvlJc w:val="left"/>
      <w:pPr>
        <w:ind w:left="1440" w:hanging="360"/>
      </w:pPr>
    </w:lvl>
    <w:lvl w:ilvl="2" w:tplc="CF7C531E">
      <w:start w:val="1"/>
      <w:numFmt w:val="bullet"/>
      <w:lvlText w:val="■"/>
      <w:lvlJc w:val="left"/>
      <w:pPr>
        <w:ind w:left="2160" w:hanging="360"/>
      </w:pPr>
    </w:lvl>
    <w:lvl w:ilvl="3" w:tplc="3EE0AA92">
      <w:start w:val="1"/>
      <w:numFmt w:val="bullet"/>
      <w:lvlText w:val="●"/>
      <w:lvlJc w:val="left"/>
      <w:pPr>
        <w:ind w:left="2880" w:hanging="360"/>
      </w:pPr>
    </w:lvl>
    <w:lvl w:ilvl="4" w:tplc="0E9AA8EC">
      <w:start w:val="1"/>
      <w:numFmt w:val="bullet"/>
      <w:lvlText w:val="○"/>
      <w:lvlJc w:val="left"/>
      <w:pPr>
        <w:ind w:left="3600" w:hanging="360"/>
      </w:pPr>
    </w:lvl>
    <w:lvl w:ilvl="5" w:tplc="F12CE9AE">
      <w:start w:val="1"/>
      <w:numFmt w:val="bullet"/>
      <w:lvlText w:val="■"/>
      <w:lvlJc w:val="left"/>
      <w:pPr>
        <w:ind w:left="4320" w:hanging="360"/>
      </w:pPr>
    </w:lvl>
    <w:lvl w:ilvl="6" w:tplc="4CEC5F44">
      <w:start w:val="1"/>
      <w:numFmt w:val="bullet"/>
      <w:lvlText w:val="●"/>
      <w:lvlJc w:val="left"/>
      <w:pPr>
        <w:ind w:left="5040" w:hanging="360"/>
      </w:pPr>
    </w:lvl>
    <w:lvl w:ilvl="7" w:tplc="4926B5D0">
      <w:start w:val="1"/>
      <w:numFmt w:val="bullet"/>
      <w:lvlText w:val="●"/>
      <w:lvlJc w:val="left"/>
      <w:pPr>
        <w:ind w:left="5760" w:hanging="360"/>
      </w:pPr>
    </w:lvl>
    <w:lvl w:ilvl="8" w:tplc="99A4943C">
      <w:start w:val="1"/>
      <w:numFmt w:val="bullet"/>
      <w:lvlText w:val="●"/>
      <w:lvlJc w:val="left"/>
      <w:pPr>
        <w:ind w:left="6480" w:hanging="360"/>
      </w:pPr>
    </w:lvl>
  </w:abstractNum>
  <w:abstractNum w:abstractNumId="1" w15:restartNumberingAfterBreak="0">
    <w:nsid w:val="67A56141"/>
    <w:multiLevelType w:val="hybridMultilevel"/>
    <w:tmpl w:val="AD46CCEE"/>
    <w:lvl w:ilvl="0" w:tplc="60FC1138">
      <w:start w:val="1"/>
      <w:numFmt w:val="decimal"/>
      <w:lvlText w:val="%1)"/>
      <w:lvlJc w:val="left"/>
      <w:pPr>
        <w:ind w:left="460" w:hanging="460"/>
      </w:pPr>
    </w:lvl>
    <w:lvl w:ilvl="1" w:tplc="045A5F6A">
      <w:start w:val="1"/>
      <w:numFmt w:val="lowerLetter"/>
      <w:lvlText w:val="%2."/>
      <w:lvlJc w:val="left"/>
      <w:pPr>
        <w:ind w:left="900" w:hanging="400"/>
      </w:pPr>
    </w:lvl>
    <w:lvl w:ilvl="2" w:tplc="C9FEC0D8">
      <w:start w:val="1"/>
      <w:numFmt w:val="lowerRoman"/>
      <w:lvlText w:val="%3."/>
      <w:lvlJc w:val="right"/>
      <w:pPr>
        <w:ind w:left="1340" w:hanging="320"/>
      </w:pPr>
    </w:lvl>
    <w:lvl w:ilvl="3" w:tplc="D70EC912">
      <w:numFmt w:val="decimal"/>
      <w:lvlText w:val=""/>
      <w:lvlJc w:val="left"/>
    </w:lvl>
    <w:lvl w:ilvl="4" w:tplc="6C9299AA">
      <w:numFmt w:val="decimal"/>
      <w:lvlText w:val=""/>
      <w:lvlJc w:val="left"/>
    </w:lvl>
    <w:lvl w:ilvl="5" w:tplc="A7167762">
      <w:numFmt w:val="decimal"/>
      <w:lvlText w:val=""/>
      <w:lvlJc w:val="left"/>
    </w:lvl>
    <w:lvl w:ilvl="6" w:tplc="80CA3BAE">
      <w:numFmt w:val="decimal"/>
      <w:lvlText w:val=""/>
      <w:lvlJc w:val="left"/>
    </w:lvl>
    <w:lvl w:ilvl="7" w:tplc="10B6856C">
      <w:numFmt w:val="decimal"/>
      <w:lvlText w:val=""/>
      <w:lvlJc w:val="left"/>
    </w:lvl>
    <w:lvl w:ilvl="8" w:tplc="24BA6480">
      <w:numFmt w:val="decimal"/>
      <w:lvlText w:val=""/>
      <w:lvlJc w:val="left"/>
    </w:lvl>
  </w:abstractNum>
  <w:abstractNum w:abstractNumId="2" w15:restartNumberingAfterBreak="0">
    <w:nsid w:val="7B820B3A"/>
    <w:multiLevelType w:val="hybridMultilevel"/>
    <w:tmpl w:val="E0E2EA06"/>
    <w:lvl w:ilvl="0" w:tplc="82404136">
      <w:start w:val="1"/>
      <w:numFmt w:val="bullet"/>
      <w:lvlText w:val="•"/>
      <w:lvlJc w:val="left"/>
      <w:pPr>
        <w:ind w:left="400" w:hanging="220"/>
      </w:pPr>
    </w:lvl>
    <w:lvl w:ilvl="1" w:tplc="0F325310">
      <w:start w:val="1"/>
      <w:numFmt w:val="bullet"/>
      <w:lvlText w:val="–"/>
      <w:lvlJc w:val="left"/>
      <w:pPr>
        <w:ind w:left="760" w:hanging="220"/>
      </w:pPr>
    </w:lvl>
    <w:lvl w:ilvl="2" w:tplc="15CCBB2E">
      <w:numFmt w:val="decimal"/>
      <w:lvlText w:val=""/>
      <w:lvlJc w:val="left"/>
    </w:lvl>
    <w:lvl w:ilvl="3" w:tplc="8174B0F8">
      <w:numFmt w:val="decimal"/>
      <w:lvlText w:val=""/>
      <w:lvlJc w:val="left"/>
    </w:lvl>
    <w:lvl w:ilvl="4" w:tplc="9D0EC38E">
      <w:numFmt w:val="decimal"/>
      <w:lvlText w:val=""/>
      <w:lvlJc w:val="left"/>
    </w:lvl>
    <w:lvl w:ilvl="5" w:tplc="B3160692">
      <w:numFmt w:val="decimal"/>
      <w:lvlText w:val=""/>
      <w:lvlJc w:val="left"/>
    </w:lvl>
    <w:lvl w:ilvl="6" w:tplc="7BE47CE4">
      <w:numFmt w:val="decimal"/>
      <w:lvlText w:val=""/>
      <w:lvlJc w:val="left"/>
    </w:lvl>
    <w:lvl w:ilvl="7" w:tplc="CDB4FA80">
      <w:numFmt w:val="decimal"/>
      <w:lvlText w:val=""/>
      <w:lvlJc w:val="left"/>
    </w:lvl>
    <w:lvl w:ilvl="8" w:tplc="8C10B4B4">
      <w:numFmt w:val="decimal"/>
      <w:lvlText w:val=""/>
      <w:lvlJc w:val="left"/>
    </w:lvl>
  </w:abstractNum>
  <w:abstractNum w:abstractNumId="3" w15:restartNumberingAfterBreak="0">
    <w:nsid w:val="7DF02433"/>
    <w:multiLevelType w:val="hybridMultilevel"/>
    <w:tmpl w:val="D3AAC61C"/>
    <w:lvl w:ilvl="0" w:tplc="D226BA4A">
      <w:start w:val="1"/>
      <w:numFmt w:val="decimal"/>
      <w:lvlText w:val="%1)"/>
      <w:lvlJc w:val="left"/>
      <w:pPr>
        <w:ind w:left="460" w:hanging="460"/>
      </w:pPr>
    </w:lvl>
    <w:lvl w:ilvl="1" w:tplc="4B648C32">
      <w:numFmt w:val="decimal"/>
      <w:lvlText w:val=""/>
      <w:lvlJc w:val="left"/>
    </w:lvl>
    <w:lvl w:ilvl="2" w:tplc="E4A05716">
      <w:numFmt w:val="decimal"/>
      <w:lvlText w:val=""/>
      <w:lvlJc w:val="left"/>
    </w:lvl>
    <w:lvl w:ilvl="3" w:tplc="79425C6C">
      <w:numFmt w:val="decimal"/>
      <w:lvlText w:val=""/>
      <w:lvlJc w:val="left"/>
    </w:lvl>
    <w:lvl w:ilvl="4" w:tplc="0F2ED9FC">
      <w:numFmt w:val="decimal"/>
      <w:lvlText w:val=""/>
      <w:lvlJc w:val="left"/>
    </w:lvl>
    <w:lvl w:ilvl="5" w:tplc="286E87D6">
      <w:numFmt w:val="decimal"/>
      <w:lvlText w:val=""/>
      <w:lvlJc w:val="left"/>
    </w:lvl>
    <w:lvl w:ilvl="6" w:tplc="8A7E6630">
      <w:numFmt w:val="decimal"/>
      <w:lvlText w:val=""/>
      <w:lvlJc w:val="left"/>
    </w:lvl>
    <w:lvl w:ilvl="7" w:tplc="9A148312">
      <w:numFmt w:val="decimal"/>
      <w:lvlText w:val=""/>
      <w:lvlJc w:val="left"/>
    </w:lvl>
    <w:lvl w:ilvl="8" w:tplc="C81EBCD8">
      <w:numFmt w:val="decimal"/>
      <w:lvlText w:val=""/>
      <w:lvlJc w:val="left"/>
    </w:lvl>
  </w:abstractNum>
  <w:num w:numId="1" w16cid:durableId="943072426">
    <w:abstractNumId w:val="0"/>
    <w:lvlOverride w:ilvl="0">
      <w:startOverride w:val="1"/>
    </w:lvlOverride>
  </w:num>
  <w:num w:numId="2" w16cid:durableId="1431007491">
    <w:abstractNumId w:val="1"/>
    <w:lvlOverride w:ilvl="0">
      <w:startOverride w:val="1"/>
    </w:lvlOverride>
  </w:num>
  <w:num w:numId="3" w16cid:durableId="167410916">
    <w:abstractNumId w:val="2"/>
    <w:lvlOverride w:ilvl="0">
      <w:startOverride w:val="1"/>
    </w:lvlOverride>
  </w:num>
  <w:num w:numId="4" w16cid:durableId="82890583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635"/>
    <w:rsid w:val="00096166"/>
    <w:rsid w:val="00176FCB"/>
    <w:rsid w:val="00177BFD"/>
    <w:rsid w:val="001868ED"/>
    <w:rsid w:val="00311EC2"/>
    <w:rsid w:val="00381826"/>
    <w:rsid w:val="003B6D28"/>
    <w:rsid w:val="004B173B"/>
    <w:rsid w:val="004F4058"/>
    <w:rsid w:val="005A70C0"/>
    <w:rsid w:val="005B5B62"/>
    <w:rsid w:val="005C455F"/>
    <w:rsid w:val="005C4635"/>
    <w:rsid w:val="00602FAA"/>
    <w:rsid w:val="00694EE3"/>
    <w:rsid w:val="006F231A"/>
    <w:rsid w:val="007009B1"/>
    <w:rsid w:val="00772CC4"/>
    <w:rsid w:val="008461BE"/>
    <w:rsid w:val="008C1E79"/>
    <w:rsid w:val="008F525E"/>
    <w:rsid w:val="008F5ED0"/>
    <w:rsid w:val="00967C18"/>
    <w:rsid w:val="00B53647"/>
    <w:rsid w:val="00B901FD"/>
    <w:rsid w:val="00B9446F"/>
    <w:rsid w:val="00C8671F"/>
    <w:rsid w:val="00D12387"/>
    <w:rsid w:val="00E20637"/>
    <w:rsid w:val="00F60B7A"/>
    <w:rsid w:val="00FE085D"/>
    <w:rsid w:val="00FF4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04752"/>
  <w15:docId w15:val="{89429349-C2EC-46EB-8A83-FAE8670AA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1EC2"/>
    <w:pPr>
      <w:tabs>
        <w:tab w:val="center" w:pos="4680"/>
        <w:tab w:val="right" w:pos="9360"/>
      </w:tabs>
    </w:pPr>
  </w:style>
  <w:style w:type="character" w:customStyle="1" w:styleId="HeaderChar">
    <w:name w:val="Header Char"/>
    <w:basedOn w:val="DefaultParagraphFont"/>
    <w:link w:val="Header"/>
    <w:uiPriority w:val="99"/>
    <w:rsid w:val="00311EC2"/>
  </w:style>
  <w:style w:type="paragraph" w:styleId="Footer">
    <w:name w:val="footer"/>
    <w:basedOn w:val="Normal"/>
    <w:link w:val="FooterChar"/>
    <w:uiPriority w:val="99"/>
    <w:unhideWhenUsed/>
    <w:rsid w:val="00311EC2"/>
    <w:pPr>
      <w:tabs>
        <w:tab w:val="center" w:pos="4680"/>
        <w:tab w:val="right" w:pos="9360"/>
      </w:tabs>
    </w:pPr>
  </w:style>
  <w:style w:type="character" w:customStyle="1" w:styleId="FooterChar">
    <w:name w:val="Footer Char"/>
    <w:basedOn w:val="DefaultParagraphFont"/>
    <w:link w:val="Footer"/>
    <w:uiPriority w:val="99"/>
    <w:rsid w:val="00311E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2232</Words>
  <Characters>12859</Characters>
  <Application>Microsoft Office Word</Application>
  <DocSecurity>0</DocSecurity>
  <Lines>238</Lines>
  <Paragraphs>157</Paragraphs>
  <ScaleCrop>false</ScaleCrop>
  <Company/>
  <LinksUpToDate>false</LinksUpToDate>
  <CharactersWithSpaces>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Moneymaker</cp:lastModifiedBy>
  <cp:revision>24</cp:revision>
  <dcterms:created xsi:type="dcterms:W3CDTF">2026-09-21T17:53:00Z</dcterms:created>
  <dcterms:modified xsi:type="dcterms:W3CDTF">2026-09-23T18:52:00Z</dcterms:modified>
</cp:coreProperties>
</file>