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Valuation &amp; Consideration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Total Valuation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 xml:space="preserve">$3,000,000</w:t>
            </w:r>
            <w:r>
              <w:t xml:space="preserve"> (1.0x run-rate recurring revenue)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Interest Acquired</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 xml:space="preserve">70%</w:t>
            </w:r>
            <w:r>
              <w:t xml:space="preserve"> of Keystone for </w:t>
            </w:r>
            <w:r>
              <w:rPr>
                <w:b/>
                <w:bCs/>
              </w:rPr>
              <w:t xml:space="preserve">$2,100,000</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Cash at Close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 xml:space="preserve">$650,000</w:t>
            </w:r>
            <w:r>
              <w:t xml:space="preserve"> (31% of the price for the 70% interest), with 10% ($65,000) held in escrow</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Topkey Equity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 xml:space="preserve">$1,450,000</w:t>
            </w:r>
            <w:r>
              <w:t xml:space="preserve"> (69% of the price), paid in newly issued Topkey common shares at a Reference Valuation of </w:t>
            </w:r>
            <w:r>
              <w:rPr>
                <w:highlight w:val="yellow"/>
              </w:rPr>
              <w:t xml:space="preserve">[$60M]</w:t>
            </w:r>
            <w:r>
              <w:t xml:space="preserve">. Topkey’s last SAFE was at a $50M post-money valuation, with a further SAFE expected to close at $60M</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Ben’s Retained Interest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 xml:space="preserve">30%</w:t>
            </w:r>
            <w:r>
              <w:t xml:space="preserve"> of Keystone (implied value $900,000), with quarterly tax distributions, minority protections, and put and call rights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Balance Sheet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Cash-free, debt-free, with a normalized level of working capital delivered at close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Tax Matters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Structure to be confirmed with jointly engaged tax counsel; each party relies on its own tax advisors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Target Timing</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Sign closing documents </w:t>
            </w:r>
            <w:r>
              <w:rPr>
                <w:highlight w:val="yellow"/>
              </w:rPr>
              <w:t xml:space="preserve">[December 18, 2026]</w:t>
            </w:r>
            <w:r>
              <w:t xml:space="preserve">; effective closing date </w:t>
            </w:r>
            <w:r>
              <w:rPr>
                <w:highlight w:val="yellow"/>
              </w:rPr>
              <w:t xml:space="preserve">[January 2, 2027]</w:t>
            </w:r>
          </w:p>
        </w:tc>
      </w:tr>
    </w:tbl>
    <w:p>
      <w:pPr>
        <w:pStyle w:val="Heading1"/>
      </w:pPr>
      <w:r>
        <w:t xml:space="preserve">Ben’s Role &amp; Compensation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Employer &amp; Title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Employed by Topkey as </w:t>
            </w:r>
            <w:r>
              <w:rPr>
                <w:highlight w:val="yellow"/>
              </w:rPr>
              <w:t xml:space="preserve">[President of Keystone]</w:t>
            </w:r>
            <w:r>
              <w:t xml:space="preserve"> and </w:t>
            </w:r>
            <w:r>
              <w:rPr>
                <w:highlight w:val="yellow"/>
              </w:rPr>
              <w:t xml:space="preserve">[Head of Accounting Services]</w:t>
            </w:r>
            <w:r>
              <w:t xml:space="preserve">, </w:t>
            </w:r>
            <w:r>
              <w:rPr>
                <w:highlight w:val="yellow"/>
              </w:rPr>
              <w:t xml:space="preserve">[reporting to Topkey’s CEO]</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Base Salary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$200,000 per year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Performance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Target $50,000 per year, paying </w:t>
            </w:r>
            <w:r>
              <w:rPr>
                <w:highlight w:val="yellow"/>
              </w:rPr>
              <w:t xml:space="preserve">[50]</w:t>
            </w:r>
            <w:r>
              <w:t xml:space="preserve">%–</w:t>
            </w:r>
            <w:r>
              <w:rPr>
                <w:highlight w:val="yellow"/>
              </w:rPr>
              <w:t xml:space="preserve">[150]</w:t>
            </w:r>
            <w:r>
              <w:t xml:space="preserve">% of target based on </w:t>
            </w:r>
            <w:r>
              <w:rPr>
                <w:highlight w:val="yellow"/>
              </w:rPr>
              <w:t xml:space="preserve">[net new client revenue]</w:t>
            </w:r>
            <w:r>
              <w:t xml:space="preserve"> and </w:t>
            </w:r>
            <w:r>
              <w:rPr>
                <w:highlight w:val="yellow"/>
              </w:rPr>
              <w:t xml:space="preserve">[team retention]</w:t>
            </w:r>
            <w:r>
              <w:t xml:space="preserve"> targets in the annual budget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Total Earning Potential</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$250,000 per year at target; up to $</w:t>
            </w:r>
            <w:r>
              <w:rPr>
                <w:highlight w:val="yellow"/>
              </w:rPr>
              <w:t xml:space="preserve">[275,000]</w:t>
            </w:r>
            <w:r>
              <w:t xml:space="preserve"> at maximum</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Equity Incentive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Eligible for Topkey’s equity incentive plan on the same basis as other senior leaders</w:t>
            </w:r>
            <w:r>
              <w:rPr>
                <w:highlight w:val="yellow"/>
              </w:rPr>
              <w:t xml:space="preserve">[; initial grant of [●] options]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Work Location &amp; Schedule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Fully remote; Ben sets his own schedule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Benefits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Eligible for Topkey benefit plans on the same basis as other Topkey executives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Severance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highlight w:val="yellow"/>
              </w:rPr>
              <w:t xml:space="preserve">[●]</w:t>
            </w:r>
            <w:r>
              <w:t xml:space="preserve"> months of base salary on termination without Cause or resignation for Good Reason</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Employment Term</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highlight w:val="yellow"/>
              </w:rPr>
              <w:t xml:space="preserve">[3]</w:t>
            </w:r>
            <w:r>
              <w:t xml:space="preserve">-year employment agreement, renewing annually thereafter</w:t>
            </w:r>
          </w:p>
        </w:tc>
      </w:tr>
    </w:tbl>
    <w:p>
      <w:r>
        <w:br w:type="page"/>
      </w:r>
    </w:p>
    <w:p>
      <w:pPr>
        <w:pStyle w:val="Heading1"/>
      </w:pPr>
      <w:r>
        <w:t xml:space="preserve">Topkey Equity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Ownership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Approximately </w:t>
            </w:r>
            <w:r>
              <w:rPr>
                <w:highlight w:val="yellow"/>
              </w:rPr>
              <w:t xml:space="preserve">[2.4]</w:t>
            </w:r>
            <w:r>
              <w:t xml:space="preserve">% of Topkey on a fully diluted basis (including conversion of all outstanding SAFEs at their caps and the existing option pool), based on a Reference Valuation of </w:t>
            </w:r>
            <w:r>
              <w:rPr>
                <w:highlight w:val="yellow"/>
              </w:rPr>
              <w:t xml:space="preserve">[$60M]</w:t>
            </w:r>
            <w:r>
              <w:t xml:space="preserve">. Topkey’s last SAFE was at a $50M post-money valuation, with a further SAFE expected to close at $60M. </w:t>
            </w:r>
            <w:r>
              <w:rPr>
                <w:highlight w:val="yellow"/>
              </w:rPr>
              <w:t xml:space="preserve">[At a $50M Reference Valuation: approximately [2.8]%.]</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Issuance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Shares issued in full at closing</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Equity Parity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At Topkey’s next equity financing, Ben’s shares are exchanged for the same series of preferred stock issued on conversion of the SAFEs, on the terms of a SAFE capped at the Reference Valuation</w:t>
            </w:r>
            <w:r>
              <w:rPr>
                <w:highlight w:val="yellow"/>
              </w:rPr>
              <w:t xml:space="preserve">[, subject to a [$45M] pre-money floor]</w:t>
            </w:r>
            <w:r>
              <w:t xml:space="preserve">. Same treatment as those SAFEs if Topkey is sold first. One-time adjustment: dilutes existing holders, not new investors; ends at that financing, a change of control or month </w:t>
            </w:r>
            <w:r>
              <w:rPr>
                <w:highlight w:val="yellow"/>
              </w:rPr>
              <w:t xml:space="preserve">[36]</w:t>
            </w:r>
            <w:r>
              <w:t xml:space="preserve">; no other anti-dilution.</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Continuity Protection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If Ben is terminated for Cause or resigns without Good Reason within </w:t>
            </w:r>
            <w:r>
              <w:rPr>
                <w:highlight w:val="yellow"/>
              </w:rPr>
              <w:t xml:space="preserve">[36]</w:t>
            </w:r>
            <w:r>
              <w:t xml:space="preserve"> months, Topkey may repurchase a declining portion of the shares (100% at closing to 0% at month </w:t>
            </w:r>
            <w:r>
              <w:rPr>
                <w:highlight w:val="yellow"/>
              </w:rPr>
              <w:t xml:space="preserve">[36]</w:t>
            </w:r>
            <w:r>
              <w:t xml:space="preserve">) at appraised fair market value. Lapses on death, disability, termination without Cause, resignation for Good Reason (a material reduction in title, role, reporting line, pay or budget authority) or a change of control.</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Holder Rights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Same rights and treatment in future financings (including dilution and option-pool increases) as other holders of the same class, except under Equity Parity; </w:t>
            </w:r>
            <w:r>
              <w:rPr>
                <w:highlight w:val="yellow"/>
              </w:rPr>
              <w:t xml:space="preserve">[annual financials and quarterly updates]</w:t>
            </w:r>
            <w:r>
              <w:t xml:space="preserve">; joins Topkey’s voting, ROFR/co-sale, drag-along and stand-off agreements (and future amended versions) on the same terms as the founders; </w:t>
            </w:r>
            <w:r>
              <w:rPr>
                <w:highlight w:val="yellow"/>
              </w:rPr>
              <w:t xml:space="preserve">[pro rata participation in any secondary offered to common holders]</w:t>
            </w:r>
            <w:r>
              <w:t xml:space="preserve">; non-voting board observer while employed</w:t>
            </w:r>
            <w:r>
              <w:rPr>
                <w:highlight w:val="yellow"/>
              </w:rPr>
              <w:t xml:space="preserve">[, subject to the Series A lead’s approval after that round]</w:t>
            </w:r>
          </w:p>
        </w:tc>
      </w:tr>
    </w:tbl>
    <w:p>
      <w:pPr>
        <w:pStyle w:val="Heading1"/>
      </w:pPr>
      <w:r>
        <w:t xml:space="preserve">Ben’s Retained 30%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Governance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Consent rights over matters requiring approval of both members (see Operating Decisions), not unreasonably withheld and not required for actions within the approved budget, Migration Protocol, brand path or Services Schedule; monthly and annual financials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Transfers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Topkey right of first refusal; tag-along for Ben; drag-along for Topkey on a sale of Keystone or of Topkey at </w:t>
            </w:r>
            <w:r>
              <w:rPr>
                <w:highlight w:val="yellow"/>
              </w:rPr>
              <w:t xml:space="preserve">[the Formula Price]</w:t>
            </w:r>
            <w:r>
              <w:t xml:space="preserve"> </w:t>
            </w:r>
            <w:r>
              <w:rPr>
                <w:highlight w:val="yellow"/>
              </w:rPr>
              <w:t xml:space="preserve">[or, if higher, the value attributed to Keystone]</w:t>
            </w:r>
            <w:r>
              <w:t xml:space="preserve">, so a buyer of Topkey gets 100% of Keystone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Distributions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Quarterly tax distributions to all members pro rata; other distributions as approved by Keystone’s board</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Topkey Call Right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Years </w:t>
            </w:r>
            <w:r>
              <w:rPr>
                <w:highlight w:val="yellow"/>
              </w:rPr>
              <w:t xml:space="preserve">[3]</w:t>
            </w:r>
            <w:r>
              <w:t xml:space="preserve">–</w:t>
            </w:r>
            <w:r>
              <w:rPr>
                <w:highlight w:val="yellow"/>
              </w:rPr>
              <w:t xml:space="preserve">[5]</w:t>
            </w:r>
            <w:r>
              <w:t xml:space="preserve"> after closing, and on a change of control of Topkey, at the Formula Price </w:t>
            </w:r>
            <w:r>
              <w:rPr>
                <w:highlight w:val="yellow"/>
              </w:rPr>
              <w:t xml:space="preserve">[plus a [10]% premium]</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Ben Put Right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During the </w:t>
            </w:r>
            <w:r>
              <w:rPr>
                <w:highlight w:val="yellow"/>
              </w:rPr>
              <w:t xml:space="preserve">[12]</w:t>
            </w:r>
            <w:r>
              <w:t xml:space="preserve"> months after the </w:t>
            </w:r>
            <w:r>
              <w:rPr>
                <w:highlight w:val="yellow"/>
              </w:rPr>
              <w:t xml:space="preserve">[fifth]</w:t>
            </w:r>
            <w:r>
              <w:t xml:space="preserve"> anniversary of closing, and on termination without Cause, resignation for Good Reason, death or disability, at the Formula Price. A Topkey financing never triggers the put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Formula Price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30% of the greater of </w:t>
            </w:r>
            <w:r>
              <w:rPr>
                <w:highlight w:val="yellow"/>
              </w:rPr>
              <w:t xml:space="preserve">[1.5]</w:t>
            </w:r>
            <w:r>
              <w:t xml:space="preserve">x trailing-twelve-month recurring revenue and </w:t>
            </w:r>
            <w:r>
              <w:rPr>
                <w:highlight w:val="yellow"/>
              </w:rPr>
              <w:t xml:space="preserve">[6.0]</w:t>
            </w:r>
            <w:r>
              <w:t xml:space="preserve">x trailing-twelve-month EBITDA</w:t>
            </w:r>
            <w:r>
              <w:rPr>
                <w:highlight w:val="yellow"/>
              </w:rPr>
              <w:t xml:space="preserve">[; Formula Price less [20]% on a call following resignation without Good Reason or termination for Cause]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Payment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Cash and/or Topkey shares at Topkey’s election, at least </w:t>
            </w:r>
            <w:r>
              <w:rPr>
                <w:highlight w:val="yellow"/>
              </w:rPr>
              <w:t xml:space="preserve">[30]</w:t>
            </w:r>
            <w:r>
              <w:t xml:space="preserve">% in cash; balance in up to </w:t>
            </w:r>
            <w:r>
              <w:rPr>
                <w:highlight w:val="yellow"/>
              </w:rPr>
              <w:t xml:space="preserve">[three]</w:t>
            </w:r>
            <w:r>
              <w:t xml:space="preserve"> annual installments</w:t>
            </w:r>
            <w:r>
              <w:rPr>
                <w:highlight w:val="yellow"/>
              </w:rPr>
              <w:t xml:space="preserve">[; annual cash cap of $[●]]</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 xml:space="preserve">Intercompany &amp; 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Services Schedule reviewed annually: Topkey products at </w:t>
            </w:r>
            <w:r>
              <w:rPr>
                <w:highlight w:val="yellow"/>
              </w:rPr>
              <w:t xml:space="preserve">[current / partner]</w:t>
            </w:r>
            <w:r>
              <w:t xml:space="preserve"> pricing; engineering support </w:t>
            </w:r>
            <w:r>
              <w:rPr>
                <w:highlight w:val="yellow"/>
              </w:rPr>
              <w:t xml:space="preserve">[free, with Topkey owning the software / at cost plus [●]%]</w:t>
            </w:r>
            <w:r>
              <w:t xml:space="preserve">; Topkey-referred clients </w:t>
            </w:r>
            <w:r>
              <w:rPr>
                <w:highlight w:val="yellow"/>
              </w:rPr>
              <w:t xml:space="preserve">[no fee / [5]% of first-year revenue]</w:t>
            </w:r>
            <w:r>
              <w:t xml:space="preserve">; post-closing software owned by Topkey and licensed to Keystone</w:t>
            </w:r>
          </w:p>
        </w:tc>
      </w:tr>
    </w:tbl>
    <w:p>
      <w:pPr>
        <w:pStyle w:val="Heading1"/>
      </w:pPr>
      <w:r>
        <w:t xml:space="preserve">Operating Decisions</w:t>
      </w:r>
    </w:p>
    <w:p>
      <w:pPr>
        <w:spacing w:after="100" w:line="264" w:lineRule="auto"/>
      </w:pPr>
      <w:r>
        <w:t xml:space="preserve">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trPr>
          <w:tblHeader/>
        </w:trPr>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20"/>
            </w:pPr>
            <w:r>
              <w:rPr>
                <w:b/>
                <w:bCs/>
                <w:color w:val="FFFFFF"/>
              </w:rPr>
              <w:t xml:space="preserve">Ben Keeps Control Of</w:t>
            </w:r>
          </w:p>
        </w:tc>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20"/>
            </w:pPr>
            <w:r>
              <w:rPr>
                <w:b/>
                <w:bCs/>
                <w:color w:val="FFFFFF"/>
              </w:rPr>
              <w:t xml:space="preserve">Requires Topkey Approval</w:t>
            </w:r>
          </w:p>
        </w:tc>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20"/>
            </w:pPr>
            <w:r>
              <w:rPr>
                <w:b/>
                <w:bCs/>
                <w:color w:val="FFFFFF"/>
              </w:rPr>
              <w:t xml:space="preserve">Requires Approval of Both Members</w:t>
            </w:r>
          </w:p>
        </w:tc>
      </w:tr>
      <w:tr>
        <w:trPr>
          <w:cantSplit/>
        </w:trPr>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20"/>
            </w:pPr>
            <w:r>
              <w:t xml:space="preserve">Day-to-day operations and client service delivery</w:t>
            </w:r>
          </w:p>
          <w:p>
            <w:pPr>
              <w:pStyle w:val="ListParagraph"/>
              <w:numPr>
                <w:ilvl w:val="0"/>
                <w:numId w:val="2"/>
              </w:numPr>
              <w:spacing w:after="20"/>
            </w:pPr>
            <w:r>
              <w:t xml:space="preserve">Pod structure, staffing, hiring and terminations within approved budget</w:t>
            </w:r>
          </w:p>
          <w:p>
            <w:pPr>
              <w:pStyle w:val="ListParagraph"/>
              <w:numPr>
                <w:ilvl w:val="0"/>
                <w:numId w:val="2"/>
              </w:numPr>
              <w:spacing w:after="20"/>
            </w:pPr>
            <w:r>
              <w:t xml:space="preserve">Team compensation, KPIs and bonuses within budget</w:t>
            </w:r>
          </w:p>
          <w:p>
            <w:pPr>
              <w:pStyle w:val="ListParagraph"/>
              <w:numPr>
                <w:ilvl w:val="0"/>
                <w:numId w:val="2"/>
              </w:numPr>
              <w:spacing w:after="20"/>
            </w:pPr>
            <w:r>
              <w:t xml:space="preserve">Recruiting and management of the offshore team</w:t>
            </w:r>
          </w:p>
          <w:p>
            <w:pPr>
              <w:pStyle w:val="ListParagraph"/>
              <w:numPr>
                <w:ilvl w:val="0"/>
                <w:numId w:val="2"/>
              </w:numPr>
              <w:spacing w:after="20"/>
            </w:pPr>
            <w:r>
              <w:t xml:space="preserve">Client acceptance, onboarding and service standards</w:t>
            </w:r>
          </w:p>
          <w:p>
            <w:pPr>
              <w:pStyle w:val="ListParagraph"/>
              <w:numPr>
                <w:ilvl w:val="0"/>
                <w:numId w:val="2"/>
              </w:numPr>
              <w:spacing w:after="20"/>
            </w:pPr>
            <w:r>
              <w:t xml:space="preserve">Service pricing within approved guidelines</w:t>
            </w:r>
          </w:p>
          <w:p>
            <w:pPr>
              <w:pStyle w:val="ListParagraph"/>
              <w:numPr>
                <w:ilvl w:val="0"/>
                <w:numId w:val="2"/>
              </w:numPr>
              <w:spacing w:after="20"/>
            </w:pPr>
            <w:r>
              <w:t xml:space="preserve">Marketing and conferences within budget</w:t>
            </w:r>
          </w:p>
          <w:p>
            <w:pPr>
              <w:pStyle w:val="ListParagraph"/>
              <w:numPr>
                <w:ilvl w:val="0"/>
                <w:numId w:val="2"/>
              </w:numPr>
              <w:spacing w:after="20"/>
            </w:pPr>
            <w:r>
              <w:t xml:space="preserve">His own schedule, location and working style</w:t>
            </w:r>
          </w:p>
        </w:tc>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20"/>
            </w:pPr>
            <w:r>
              <w:t xml:space="preserve">Annual operating budget and headcount plan</w:t>
            </w:r>
          </w:p>
          <w:p>
            <w:pPr>
              <w:pStyle w:val="ListParagraph"/>
              <w:numPr>
                <w:ilvl w:val="0"/>
                <w:numId w:val="2"/>
              </w:numPr>
              <w:spacing w:after="20"/>
            </w:pPr>
            <w:r>
              <w:t xml:space="preserve">Senior leadership hires not included in the approved budget</w:t>
            </w:r>
          </w:p>
          <w:p>
            <w:pPr>
              <w:pStyle w:val="ListParagraph"/>
              <w:numPr>
                <w:ilvl w:val="0"/>
                <w:numId w:val="2"/>
              </w:numPr>
              <w:spacing w:after="20"/>
            </w:pPr>
            <w:r>
              <w:t xml:space="preserve">Any expense or contract commitment above </w:t>
            </w:r>
            <w:r>
              <w:rPr>
                <w:highlight w:val="yellow"/>
              </w:rPr>
              <w:t xml:space="preserve">[$50,000]</w:t>
            </w:r>
            <w:r>
              <w:t xml:space="preserve"> per year (other than like-for-like renewals)</w:t>
            </w:r>
          </w:p>
          <w:p>
            <w:pPr>
              <w:pStyle w:val="ListParagraph"/>
              <w:numPr>
                <w:ilvl w:val="0"/>
                <w:numId w:val="2"/>
              </w:numPr>
              <w:spacing w:after="20"/>
            </w:pPr>
            <w:r>
              <w:t xml:space="preserve">Changes to the core tech stack outside the Migration Protocol</w:t>
            </w:r>
          </w:p>
          <w:p>
            <w:pPr>
              <w:pStyle w:val="ListParagraph"/>
              <w:numPr>
                <w:ilvl w:val="0"/>
                <w:numId w:val="2"/>
              </w:numPr>
              <w:spacing w:after="20"/>
            </w:pPr>
            <w:r>
              <w:t xml:space="preserve">Debt, capital expenditures, guarantees or liens</w:t>
            </w:r>
          </w:p>
          <w:p>
            <w:pPr>
              <w:pStyle w:val="ListParagraph"/>
              <w:numPr>
                <w:ilvl w:val="0"/>
                <w:numId w:val="2"/>
              </w:numPr>
              <w:spacing w:after="20"/>
            </w:pPr>
            <w:r>
              <w:t xml:space="preserve">Acquisitions, new entities or new service lines</w:t>
            </w:r>
          </w:p>
          <w:p>
            <w:pPr>
              <w:pStyle w:val="ListParagraph"/>
              <w:numPr>
                <w:ilvl w:val="0"/>
                <w:numId w:val="2"/>
              </w:numPr>
              <w:spacing w:after="20"/>
            </w:pPr>
            <w:r>
              <w:t xml:space="preserve">Material pricing changes (more than </w:t>
            </w:r>
            <w:r>
              <w:rPr>
                <w:highlight w:val="yellow"/>
              </w:rPr>
              <w:t xml:space="preserve">[10]</w:t>
            </w:r>
            <w:r>
              <w:t xml:space="preserve">%) or non-standard client contract terms</w:t>
            </w:r>
          </w:p>
          <w:p>
            <w:pPr>
              <w:pStyle w:val="ListParagraph"/>
              <w:numPr>
                <w:ilvl w:val="0"/>
                <w:numId w:val="2"/>
              </w:numPr>
              <w:spacing w:after="20"/>
            </w:pPr>
            <w:r>
              <w:t xml:space="preserve">Litigation and settlements</w:t>
            </w:r>
          </w:p>
        </w:tc>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20"/>
            </w:pPr>
            <w:r>
              <w:t xml:space="preserve">Changes to Keystone’s name or brand beyond the agreed brand path</w:t>
            </w:r>
          </w:p>
          <w:p>
            <w:pPr>
              <w:pStyle w:val="ListParagraph"/>
              <w:numPr>
                <w:ilvl w:val="0"/>
                <w:numId w:val="2"/>
              </w:numPr>
              <w:spacing w:after="20"/>
            </w:pPr>
            <w:r>
              <w:t xml:space="preserve">Migration of client trust accounting outside the Migration Protocol</w:t>
            </w:r>
          </w:p>
          <w:p>
            <w:pPr>
              <w:pStyle w:val="ListParagraph"/>
              <w:numPr>
                <w:ilvl w:val="0"/>
                <w:numId w:val="2"/>
              </w:numPr>
              <w:spacing w:after="20"/>
            </w:pPr>
            <w:r>
              <w:t xml:space="preserve">Changes to intercompany pricing or the Services Schedule</w:t>
            </w:r>
          </w:p>
          <w:p>
            <w:pPr>
              <w:pStyle w:val="ListParagraph"/>
              <w:numPr>
                <w:ilvl w:val="0"/>
                <w:numId w:val="2"/>
              </w:numPr>
              <w:spacing w:after="20"/>
            </w:pPr>
            <w:r>
              <w:t xml:space="preserve">Distributions other than tax distributions</w:t>
            </w:r>
          </w:p>
          <w:p>
            <w:pPr>
              <w:pStyle w:val="ListParagraph"/>
              <w:numPr>
                <w:ilvl w:val="0"/>
                <w:numId w:val="2"/>
              </w:numPr>
              <w:spacing w:after="20"/>
            </w:pPr>
            <w:r>
              <w:t xml:space="preserve">New Keystone equity or new members</w:t>
            </w:r>
          </w:p>
          <w:p>
            <w:pPr>
              <w:pStyle w:val="ListParagraph"/>
              <w:numPr>
                <w:ilvl w:val="0"/>
                <w:numId w:val="2"/>
              </w:numPr>
              <w:spacing w:after="20"/>
            </w:pPr>
            <w:r>
              <w:t xml:space="preserve">Related-party transactions</w:t>
            </w:r>
          </w:p>
          <w:p>
            <w:pPr>
              <w:pStyle w:val="ListParagraph"/>
              <w:numPr>
                <w:ilvl w:val="0"/>
                <w:numId w:val="2"/>
              </w:numPr>
              <w:spacing w:after="20"/>
            </w:pPr>
            <w:r>
              <w:t xml:space="preserve">Sale of substantially all assets, dissolution, or amendments to the Operating Agreement</w:t>
            </w:r>
          </w:p>
        </w:tc>
      </w:tr>
    </w:tbl>
    <w:p>
      <w:pPr>
        <w:spacing w:after="100" w:line="264" w:lineRule="auto"/>
      </w:pPr>
      <w:r>
        <w:t xml:space="preserve">Approvals in the third column may not be unreasonably withheld and are not needed for actions within the approved budget, Migration Protocol, brand path or Services Schedule.</w:t>
      </w:r>
    </w:p>
    <w:p>
      <w:pPr>
        <w:spacing w:before="120" w:after="100" w:line="264" w:lineRule="auto"/>
      </w:pPr>
      <w:r>
        <w:rPr>
          <w:b/>
          <w:bCs/>
        </w:rPr>
        <w:t xml:space="preserve">Deadlock &amp; escalation:</w:t>
      </w:r>
      <w:r>
        <w:t xml:space="preserve"> If Ben and Topkey cannot agree on a matter requiring Topkey approval or approval of both members, including the annual budget and KPIs, it escalates to Ben and Topkey’s CEO to resolve in good faith within </w:t>
      </w:r>
      <w:r>
        <w:rPr>
          <w:highlight w:val="yellow"/>
        </w:rPr>
        <w:t xml:space="preserve">[10]</w:t>
      </w:r>
      <w:r>
        <w:t xml:space="preserve"> business days, then to non-binding mediation with a mutually agreed independent advisor. While a budget dispute is pending, Keystone operates under the prior year’s approved budget and Ben’s bonus is measured against the prior year’s agreed targets.</w:t>
      </w:r>
    </w:p>
    <w:p>
      <w:pPr>
        <w:pStyle w:val="Heading2"/>
      </w:pPr>
      <w:r>
        <w:t xml:space="preserve">What Changes After Closing</w:t>
      </w:r>
    </w:p>
    <w:p>
      <w:pPr>
        <w:pStyle w:val="ListParagraph"/>
        <w:numPr>
          <w:ilvl w:val="0"/>
          <w:numId w:val="2"/>
        </w:numPr>
        <w:spacing w:after="30"/>
      </w:pPr>
      <w:r>
        <w:rPr>
          <w:b/>
          <w:bCs/>
        </w:rPr>
        <w:t xml:space="preserve">Ownership:</w:t>
      </w:r>
      <w:r>
        <w:t xml:space="preserve"> Topkey owns 70% of Keystone and Ben owns 30%; Ben also becomes a Topkey stockholder.</w:t>
      </w:r>
    </w:p>
    <w:p>
      <w:pPr>
        <w:pStyle w:val="ListParagraph"/>
        <w:numPr>
          <w:ilvl w:val="0"/>
          <w:numId w:val="2"/>
        </w:numPr>
        <w:spacing w:after="30"/>
      </w:pPr>
      <w:r>
        <w:rPr>
          <w:b/>
          <w:bCs/>
        </w:rPr>
        <w:t xml:space="preserve">Financial reporting:</w:t>
      </w:r>
      <w:r>
        <w:t xml:space="preserve"> Monthly close reported to Topkey’s finance team; annual budget prepared by Ben and approved by Keystone’s board.</w:t>
      </w:r>
    </w:p>
    <w:p>
      <w:pPr>
        <w:pStyle w:val="ListParagraph"/>
        <w:numPr>
          <w:ilvl w:val="0"/>
          <w:numId w:val="2"/>
        </w:numPr>
        <w:spacing w:after="30"/>
      </w:pPr>
      <w:r>
        <w:rPr>
          <w:b/>
          <w:bCs/>
        </w:rPr>
        <w:t xml:space="preserve">Technology:</w:t>
      </w:r>
      <w:r>
        <w:t xml:space="preserve"> Topkey’s engineering team leads development alongside Keystone’s operators; Arch and Keystone’s other tools carry forward onto the Topkey roadmap.</w:t>
      </w:r>
    </w:p>
    <w:p>
      <w:pPr>
        <w:pStyle w:val="ListParagraph"/>
        <w:numPr>
          <w:ilvl w:val="0"/>
          <w:numId w:val="2"/>
        </w:numPr>
        <w:spacing w:after="30"/>
      </w:pPr>
      <w:r>
        <w:rPr>
          <w:b/>
          <w:bCs/>
        </w:rPr>
        <w:t xml:space="preserve">Software stack:</w:t>
      </w:r>
      <w:r>
        <w:t xml:space="preserve"> Where Topkey offers an equivalent or better product (e.g., trust accounting in place of VR Platform), tools migrate under a written Migration Protocol, with Ben’s sign-off per client cohort and no migrations in </w:t>
      </w:r>
      <w:r>
        <w:rPr>
          <w:highlight w:val="yellow"/>
        </w:rPr>
        <w:t xml:space="preserve">[January and February]</w:t>
      </w:r>
      <w:r>
        <w:t xml:space="preserve">.</w:t>
      </w:r>
    </w:p>
    <w:p>
      <w:pPr>
        <w:pStyle w:val="ListParagraph"/>
        <w:numPr>
          <w:ilvl w:val="0"/>
          <w:numId w:val="2"/>
        </w:numPr>
        <w:spacing w:after="30"/>
      </w:pPr>
      <w:r>
        <w:rPr>
          <w:b/>
          <w:bCs/>
        </w:rPr>
        <w:t xml:space="preserve">Banking and payments:</w:t>
      </w:r>
      <w:r>
        <w:t xml:space="preserve"> Keystone operating accounts move to Topkey’s banking platform on the Migration Protocol timeline; client trust accounts move only after Ben’s written readiness acceptance.</w:t>
      </w:r>
    </w:p>
    <w:p>
      <w:pPr>
        <w:pStyle w:val="ListParagraph"/>
        <w:numPr>
          <w:ilvl w:val="0"/>
          <w:numId w:val="2"/>
        </w:numPr>
        <w:spacing w:after="30"/>
      </w:pPr>
      <w:r>
        <w:rPr>
          <w:b/>
          <w:bCs/>
        </w:rPr>
        <w:t xml:space="preserve">Brand:</w:t>
      </w:r>
      <w:r>
        <w:t xml:space="preserve"> “Keystone, a Topkey company” for at least </w:t>
      </w:r>
      <w:r>
        <w:rPr>
          <w:highlight w:val="yellow"/>
        </w:rPr>
        <w:t xml:space="preserve">[24]</w:t>
      </w:r>
      <w:r>
        <w:t xml:space="preserve"> months; any further change is a joint decision.</w:t>
      </w:r>
    </w:p>
    <w:p>
      <w:pPr>
        <w:pStyle w:val="ListParagraph"/>
        <w:numPr>
          <w:ilvl w:val="0"/>
          <w:numId w:val="2"/>
        </w:numPr>
        <w:spacing w:after="30"/>
      </w:pPr>
      <w:r>
        <w:rPr>
          <w:b/>
          <w:bCs/>
        </w:rPr>
        <w:t xml:space="preserve">Bookkeeping partnership:</w:t>
      </w:r>
      <w:r>
        <w:t xml:space="preserve"> Keystone becomes Topkey’s exclusive bookkeeping partner for platform customers.</w:t>
      </w:r>
    </w:p>
    <w:p>
      <w:pPr>
        <w:pStyle w:val="ListParagraph"/>
        <w:numPr>
          <w:ilvl w:val="0"/>
          <w:numId w:val="2"/>
        </w:numPr>
        <w:spacing w:after="30"/>
      </w:pPr>
      <w:r>
        <w:rPr>
          <w:b/>
          <w:bCs/>
        </w:rPr>
        <w:t xml:space="preserve">Offshore team:</w:t>
      </w:r>
      <w:r>
        <w:t xml:space="preserve"> go-forward compliance model agreed before signing, with any transition completed </w:t>
      </w:r>
      <w:r>
        <w:rPr>
          <w:highlight w:val="yellow"/>
        </w:rPr>
        <w:t xml:space="preserve">[before Topkey’s next priced round / within [12] months]</w:t>
      </w:r>
      <w:r>
        <w:t xml:space="preserve">.</w:t>
      </w:r>
    </w:p>
    <w:sectPr w:rsidR="00862AAB">
      <w:headerReference w:type="even" r:id="rId11"/>
      <w:headerReference w:type="default" r:id="rId12"/>
      <w:footerReference w:type="even" r:id="rId13"/>
      <w:footerReference w:type="default" r:id="rId14"/>
      <w:headerReference w:type="first" r:id="rId15"/>
      <w:footerReference w:type="first" r:id="rId16"/>
      <w:pgSz w:w="12240" w:h="15840"/>
      <w:pgMar w:top="1000" w:right="1080" w:bottom="10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Moneymaker" w:date="2026-09-21T11:56:00Z" w:initials="FM">
    <w:p w14:paraId="176C9CD0" w14:textId="77777777" w:rsidR="000F0CCD" w:rsidRDefault="00F477DB" w:rsidP="00294818">
      <w:pPr>
        <w:pStyle w:val="CommentText"/>
      </w:pPr>
      <w:r>
        <w:rPr>
          <w:rStyle w:val="CommentReference"/>
        </w:rPr>
        <w:annotationRef/>
      </w:r>
      <w:r>
        <w:t>FY2025 adj. employee retention: 79%</w:t>
      </w:r>
      <w:r>
        <w:br/>
        <w:t>YTD2026 adj. employee retention: 78%</w:t>
      </w:r>
      <w:r>
        <w:br/>
        <w:t>LTM Sep’26 adj. employee retention: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AF29F" w16cex:dateUtc="2026-09-2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9CD0" w16cid:durableId="6F9AF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55A9" w14:textId="77777777" w:rsidR="00D9737F" w:rsidRDefault="00D9737F">
      <w:r>
        <w:separator/>
      </w:r>
    </w:p>
  </w:endnote>
  <w:endnote w:type="continuationSeparator" w:id="0">
    <w:p w14:paraId="7DC5102F" w14:textId="77777777" w:rsidR="00D9737F" w:rsidRDefault="00D9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3512" w14:textId="77777777" w:rsidR="00244FE6" w:rsidRDefault="00244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90B" w14:textId="77777777" w:rsidR="000F0CCD" w:rsidRDefault="00F477DB">
    <w:pPr>
      <w:tabs>
        <w:tab w:val="right" w:pos="10080"/>
      </w:tabs>
    </w:pPr>
    <w:r>
      <w:rPr>
        <w:color w:val="595959"/>
        <w:sz w:val="16"/>
        <w:szCs w:val="16"/>
      </w:rPr>
      <w:t>Confidential | Non-Binding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B239" w14:textId="77777777" w:rsidR="00244FE6" w:rsidRDefault="00244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2496" w14:textId="77777777" w:rsidR="00D9737F" w:rsidRDefault="00D9737F">
      <w:r>
        <w:separator/>
      </w:r>
    </w:p>
  </w:footnote>
  <w:footnote w:type="continuationSeparator" w:id="0">
    <w:p w14:paraId="25FA8E6C" w14:textId="77777777" w:rsidR="00D9737F" w:rsidRDefault="00D97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FC09" w14:textId="77777777" w:rsidR="00244FE6" w:rsidRDefault="00244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3910" w14:textId="542F5B65" w:rsidR="000F0CCD" w:rsidRDefault="00F477DB" w:rsidP="00FC4714">
    <w:pPr>
      <w:pBdr>
        <w:bottom w:val="single" w:sz="18" w:space="4" w:color="9A0033"/>
      </w:pBdr>
      <w:spacing w:after="40"/>
      <w:jc w:val="center"/>
    </w:pPr>
    <w:r>
      <w:rPr>
        <w:b/>
        <w:bCs/>
        <w:color w:val="7A0000"/>
        <w:sz w:val="40"/>
        <w:szCs w:val="40"/>
      </w:rPr>
      <w:t>Topkey + Keystone – Partnership Offer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60D8" w14:textId="77777777" w:rsidR="00244FE6" w:rsidRDefault="00244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103"/>
    <w:multiLevelType w:val="hybridMultilevel"/>
    <w:tmpl w:val="D2E8A6EA"/>
    <w:lvl w:ilvl="0" w:tplc="EF10DF04">
      <w:start w:val="1"/>
      <w:numFmt w:val="bullet"/>
      <w:lvlText w:val="•"/>
      <w:lvlJc w:val="left"/>
      <w:pPr>
        <w:ind w:left="360" w:hanging="240"/>
      </w:pPr>
    </w:lvl>
    <w:lvl w:ilvl="1" w:tplc="30FCBAB6">
      <w:start w:val="1"/>
      <w:numFmt w:val="bullet"/>
      <w:lvlText w:val="–"/>
      <w:lvlJc w:val="left"/>
      <w:pPr>
        <w:ind w:left="720" w:hanging="240"/>
      </w:pPr>
    </w:lvl>
    <w:lvl w:ilvl="2" w:tplc="8F6A6DBC">
      <w:numFmt w:val="decimal"/>
      <w:lvlText w:val=""/>
      <w:lvlJc w:val="left"/>
    </w:lvl>
    <w:lvl w:ilvl="3" w:tplc="349E19EE">
      <w:numFmt w:val="decimal"/>
      <w:lvlText w:val=""/>
      <w:lvlJc w:val="left"/>
    </w:lvl>
    <w:lvl w:ilvl="4" w:tplc="179C348A">
      <w:numFmt w:val="decimal"/>
      <w:lvlText w:val=""/>
      <w:lvlJc w:val="left"/>
    </w:lvl>
    <w:lvl w:ilvl="5" w:tplc="0950A1CE">
      <w:numFmt w:val="decimal"/>
      <w:lvlText w:val=""/>
      <w:lvlJc w:val="left"/>
    </w:lvl>
    <w:lvl w:ilvl="6" w:tplc="05C848C6">
      <w:numFmt w:val="decimal"/>
      <w:lvlText w:val=""/>
      <w:lvlJc w:val="left"/>
    </w:lvl>
    <w:lvl w:ilvl="7" w:tplc="5990661A">
      <w:numFmt w:val="decimal"/>
      <w:lvlText w:val=""/>
      <w:lvlJc w:val="left"/>
    </w:lvl>
    <w:lvl w:ilvl="8" w:tplc="9182B236">
      <w:numFmt w:val="decimal"/>
      <w:lvlText w:val=""/>
      <w:lvlJc w:val="left"/>
    </w:lvl>
  </w:abstractNum>
  <w:abstractNum w:abstractNumId="1" w15:restartNumberingAfterBreak="0">
    <w:nsid w:val="6D03660C"/>
    <w:multiLevelType w:val="hybridMultilevel"/>
    <w:tmpl w:val="4C525FA4"/>
    <w:lvl w:ilvl="0" w:tplc="837A65E0">
      <w:start w:val="1"/>
      <w:numFmt w:val="bullet"/>
      <w:lvlText w:val="●"/>
      <w:lvlJc w:val="left"/>
      <w:pPr>
        <w:ind w:left="720" w:hanging="360"/>
      </w:pPr>
    </w:lvl>
    <w:lvl w:ilvl="1" w:tplc="B59A662E">
      <w:start w:val="1"/>
      <w:numFmt w:val="bullet"/>
      <w:lvlText w:val="○"/>
      <w:lvlJc w:val="left"/>
      <w:pPr>
        <w:ind w:left="1440" w:hanging="360"/>
      </w:pPr>
    </w:lvl>
    <w:lvl w:ilvl="2" w:tplc="88BC019C">
      <w:start w:val="1"/>
      <w:numFmt w:val="bullet"/>
      <w:lvlText w:val="■"/>
      <w:lvlJc w:val="left"/>
      <w:pPr>
        <w:ind w:left="2160" w:hanging="360"/>
      </w:pPr>
    </w:lvl>
    <w:lvl w:ilvl="3" w:tplc="051088EA">
      <w:start w:val="1"/>
      <w:numFmt w:val="bullet"/>
      <w:lvlText w:val="●"/>
      <w:lvlJc w:val="left"/>
      <w:pPr>
        <w:ind w:left="2880" w:hanging="360"/>
      </w:pPr>
    </w:lvl>
    <w:lvl w:ilvl="4" w:tplc="E72280D0">
      <w:start w:val="1"/>
      <w:numFmt w:val="bullet"/>
      <w:lvlText w:val="○"/>
      <w:lvlJc w:val="left"/>
      <w:pPr>
        <w:ind w:left="3600" w:hanging="360"/>
      </w:pPr>
    </w:lvl>
    <w:lvl w:ilvl="5" w:tplc="41048792">
      <w:start w:val="1"/>
      <w:numFmt w:val="bullet"/>
      <w:lvlText w:val="■"/>
      <w:lvlJc w:val="left"/>
      <w:pPr>
        <w:ind w:left="4320" w:hanging="360"/>
      </w:pPr>
    </w:lvl>
    <w:lvl w:ilvl="6" w:tplc="80ACAC1C">
      <w:start w:val="1"/>
      <w:numFmt w:val="bullet"/>
      <w:lvlText w:val="●"/>
      <w:lvlJc w:val="left"/>
      <w:pPr>
        <w:ind w:left="5040" w:hanging="360"/>
      </w:pPr>
    </w:lvl>
    <w:lvl w:ilvl="7" w:tplc="1DD8411C">
      <w:start w:val="1"/>
      <w:numFmt w:val="bullet"/>
      <w:lvlText w:val="●"/>
      <w:lvlJc w:val="left"/>
      <w:pPr>
        <w:ind w:left="5760" w:hanging="360"/>
      </w:pPr>
    </w:lvl>
    <w:lvl w:ilvl="8" w:tplc="281875A4">
      <w:start w:val="1"/>
      <w:numFmt w:val="bullet"/>
      <w:lvlText w:val="●"/>
      <w:lvlJc w:val="left"/>
      <w:pPr>
        <w:ind w:left="6480" w:hanging="360"/>
      </w:pPr>
    </w:lvl>
  </w:abstractNum>
  <w:num w:numId="1" w16cid:durableId="1163666576">
    <w:abstractNumId w:val="1"/>
    <w:lvlOverride w:ilvl="0">
      <w:startOverride w:val="1"/>
    </w:lvlOverride>
  </w:num>
  <w:num w:numId="2" w16cid:durableId="16015990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Moneymaker">
    <w15:presenceInfo w15:providerId="Windows Live" w15:userId="575a87886d856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AB"/>
    <w:rsid w:val="0004653F"/>
    <w:rsid w:val="000F0CCD"/>
    <w:rsid w:val="00244FE6"/>
    <w:rsid w:val="003A31A4"/>
    <w:rsid w:val="00485875"/>
    <w:rsid w:val="00504F2B"/>
    <w:rsid w:val="00587BF9"/>
    <w:rsid w:val="00672EF5"/>
    <w:rsid w:val="00821EE9"/>
    <w:rsid w:val="00862AAB"/>
    <w:rsid w:val="009F7F28"/>
    <w:rsid w:val="00AA17E2"/>
    <w:rsid w:val="00AC4C87"/>
    <w:rsid w:val="00CF07FB"/>
    <w:rsid w:val="00D9737F"/>
    <w:rsid w:val="00F26B41"/>
    <w:rsid w:val="00F4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64F"/>
  <w15:docId w15:val="{BB29A8E2-8D3B-45AA-8C23-A483CB6E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7A0000"/>
      <w:sz w:val="28"/>
      <w:szCs w:val="28"/>
    </w:rPr>
  </w:style>
  <w:style w:type="paragraph" w:styleId="Heading2">
    <w:name w:val="heading 2"/>
    <w:uiPriority w:val="9"/>
    <w:unhideWhenUsed/>
    <w:qFormat/>
    <w:pPr>
      <w:keepNext/>
      <w:spacing w:before="140" w:after="70"/>
      <w:outlineLvl w:val="1"/>
    </w:pPr>
    <w:rPr>
      <w:b/>
      <w:bCs/>
      <w:color w:val="9A0033"/>
      <w:sz w:val="23"/>
      <w:szCs w:val="23"/>
    </w:rPr>
  </w:style>
  <w:style w:type="paragraph" w:styleId="Heading3">
    <w:name w:val="heading 3"/>
    <w:uiPriority w:val="9"/>
    <w:semiHidden/>
    <w:unhideWhenUsed/>
    <w:qFormat/>
    <w:pPr>
      <w:outlineLvl w:val="2"/>
    </w:pPr>
    <w:rPr>
      <w:color w:val="7A0000"/>
      <w:sz w:val="24"/>
      <w:szCs w:val="24"/>
    </w:rPr>
  </w:style>
  <w:style w:type="paragraph" w:styleId="Heading4">
    <w:name w:val="heading 4"/>
    <w:uiPriority w:val="9"/>
    <w:semiHidden/>
    <w:unhideWhenUsed/>
    <w:qFormat/>
    <w:pPr>
      <w:outlineLvl w:val="3"/>
    </w:pPr>
    <w:rPr>
      <w:i/>
      <w:iCs/>
      <w:color w:val="9A0033"/>
    </w:rPr>
  </w:style>
  <w:style w:type="paragraph" w:styleId="Heading5">
    <w:name w:val="heading 5"/>
    <w:uiPriority w:val="9"/>
    <w:semiHidden/>
    <w:unhideWhenUsed/>
    <w:qFormat/>
    <w:pPr>
      <w:outlineLvl w:val="4"/>
    </w:pPr>
    <w:rPr>
      <w:color w:val="9A0033"/>
    </w:rPr>
  </w:style>
  <w:style w:type="paragraph" w:styleId="Heading6">
    <w:name w:val="heading 6"/>
    <w:uiPriority w:val="9"/>
    <w:semiHidden/>
    <w:unhideWhenUsed/>
    <w:qFormat/>
    <w:pPr>
      <w:outlineLvl w:val="5"/>
    </w:pPr>
    <w:rPr>
      <w:color w:val="7A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A003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714"/>
    <w:pPr>
      <w:tabs>
        <w:tab w:val="center" w:pos="4680"/>
        <w:tab w:val="right" w:pos="9360"/>
      </w:tabs>
    </w:pPr>
  </w:style>
  <w:style w:type="character" w:customStyle="1" w:styleId="HeaderChar">
    <w:name w:val="Header Char"/>
    <w:basedOn w:val="DefaultParagraphFont"/>
    <w:link w:val="Header"/>
    <w:uiPriority w:val="99"/>
    <w:rsid w:val="00FC4714"/>
  </w:style>
  <w:style w:type="paragraph" w:styleId="Footer">
    <w:name w:val="footer"/>
    <w:basedOn w:val="Normal"/>
    <w:link w:val="FooterChar"/>
    <w:uiPriority w:val="99"/>
    <w:unhideWhenUsed/>
    <w:rsid w:val="00FC4714"/>
    <w:pPr>
      <w:tabs>
        <w:tab w:val="center" w:pos="4680"/>
        <w:tab w:val="right" w:pos="9360"/>
      </w:tabs>
    </w:pPr>
  </w:style>
  <w:style w:type="character" w:customStyle="1" w:styleId="FooterChar">
    <w:name w:val="Footer Char"/>
    <w:basedOn w:val="DefaultParagraphFont"/>
    <w:link w:val="Footer"/>
    <w:uiPriority w:val="99"/>
    <w:rsid w:val="00FC4714"/>
  </w:style>
  <w:style w:type="character" w:styleId="CommentReference">
    <w:name w:val="annotation reference"/>
    <w:basedOn w:val="DefaultParagraphFont"/>
    <w:uiPriority w:val="99"/>
    <w:semiHidden/>
    <w:unhideWhenUsed/>
    <w:rsid w:val="00294818"/>
    <w:rPr>
      <w:sz w:val="16"/>
      <w:szCs w:val="16"/>
    </w:rPr>
  </w:style>
  <w:style w:type="paragraph" w:styleId="CommentText">
    <w:name w:val="annotation text"/>
    <w:basedOn w:val="Normal"/>
    <w:link w:val="CommentTextChar"/>
    <w:uiPriority w:val="99"/>
    <w:unhideWhenUsed/>
    <w:rsid w:val="00294818"/>
    <w:rPr>
      <w:sz w:val="20"/>
      <w:szCs w:val="20"/>
    </w:rPr>
  </w:style>
  <w:style w:type="character" w:customStyle="1" w:styleId="CommentTextChar">
    <w:name w:val="Comment Text Char"/>
    <w:basedOn w:val="DefaultParagraphFont"/>
    <w:link w:val="CommentText"/>
    <w:uiPriority w:val="99"/>
    <w:rsid w:val="00294818"/>
    <w:rPr>
      <w:sz w:val="20"/>
      <w:szCs w:val="20"/>
    </w:rPr>
  </w:style>
  <w:style w:type="paragraph" w:styleId="CommentSubject">
    <w:name w:val="annotation subject"/>
    <w:basedOn w:val="CommentText"/>
    <w:next w:val="CommentText"/>
    <w:link w:val="CommentSubjectChar"/>
    <w:uiPriority w:val="99"/>
    <w:semiHidden/>
    <w:unhideWhenUsed/>
    <w:rsid w:val="00294818"/>
    <w:rPr>
      <w:b/>
      <w:bCs/>
    </w:rPr>
  </w:style>
  <w:style w:type="character" w:customStyle="1" w:styleId="CommentSubjectChar">
    <w:name w:val="Comment Subject Char"/>
    <w:basedOn w:val="CommentTextChar"/>
    <w:link w:val="CommentSubject"/>
    <w:uiPriority w:val="99"/>
    <w:semiHidden/>
    <w:rsid w:val="002948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38994-0EB4-406E-8AA0-468BD6320CAA}">
  <we:reference id="wa200010453" version="1.0.0.1" store="en-US" storeType="OMEX"/>
  <we:alternateReferences>
    <we:reference id="WA200010453" version="1.0.0.1" store="" storeType="OMEX"/>
  </we:alternateReferences>
  <we:properties>
    <we:property name="claude.fileId" value="&quot;5b6afe90-b62e-40ae-8b70-67377acbaa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1457</TotalTime>
  <Pages>1</Pages>
  <Words>664</Words>
  <Characters>4002</Characters>
  <Application>Microsoft Office Word</Application>
  <DocSecurity>0</DocSecurity>
  <Lines>105</Lines>
  <Paragraphs>79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Topkey + Keystone Offer Outline v2</dc:title>
  <dc:creator>AMB Advisory Services</dc:creator>
  <cp:lastModifiedBy>Frank Moneymaker</cp:lastModifiedBy>
  <cp:revision>41</cp:revision>
  <dcterms:created xsi:type="dcterms:W3CDTF">2026-09-17T17:14:00Z</dcterms:created>
  <dcterms:modified xsi:type="dcterms:W3CDTF">2026-09-21T20:13:00Z</dcterms:modified>
</cp:coreProperties>
</file>