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What’s the status of your Thread Bank loan agreement?</w:t>
      </w:r>
    </w:p>
    <w:p w:rsidR="00000000" w:rsidDel="00000000" w:rsidP="00000000" w:rsidRDefault="00000000" w:rsidRPr="00000000" w14:paraId="00000002">
      <w:pPr>
        <w:numPr>
          <w:ilvl w:val="1"/>
          <w:numId w:val="1"/>
        </w:numPr>
        <w:ind w:left="1440" w:hanging="360"/>
        <w:rPr>
          <w:u w:val="none"/>
        </w:rPr>
      </w:pPr>
      <w:r w:rsidDel="00000000" w:rsidR="00000000" w:rsidRPr="00000000">
        <w:rPr>
          <w:rtl w:val="0"/>
        </w:rPr>
        <w:t xml:space="preserve">we are working thru a new structure w thread that would allow us to offload the debt but we won't sunset the cards and so may still have some interchange revenue - the doc repeatedly says we will “sunset” card program but this is not accurate anymore, as we are likely going to keep the card program but we would still be able to repatriate a big chunk of the funds like $250-350k</w:t>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The Thread Bank loan agreement prohibits the acquisition. No Investments, no acquisitions, and any new subsidiary must become a co-borrower and pledge its assets to the bank, which Ben won't accept. The line </w:t>
      </w:r>
      <w:r w:rsidDel="00000000" w:rsidR="00000000" w:rsidRPr="00000000">
        <w:rPr>
          <w:b w:val="1"/>
          <w:bCs w:val="1"/>
          <w:rtl w:val="0"/>
        </w:rPr>
        <w:t xml:space="preserve">matured August 26, 2026</w:t>
      </w:r>
      <w:r w:rsidDel="00000000" w:rsidR="00000000" w:rsidRPr="00000000">
        <w:rPr>
          <w:rtl w:val="0"/>
        </w:rPr>
        <w:t xml:space="preserve">, but $500K was still drawn at August 31, so the status needs confirming this week. Recommendation: pay it off before closing</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We’ll draft a deal memo for Felicis and a16z to consent on the deal + you to share with investors</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The charter requires preferred consent for the 70/30 structure, and Felicis alone can't give it. Section 3.3.9 prohibits any subsidiary that isn't wholly owned without 55% of the Preferred. Felicis holds 46.8%. It needs a16z (18.2%) or YC (14.3%) as well </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We can say that the deal is conditioned upon their approval and you can brief them before the LOI is signed</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The issuance still needs a right-of-first-offer waiver under the Investors' Rights Agreement (there's no acquisition carve-out). Felicis alone can waive it. Include it in the same consent</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Series A investors may be concerned about the offshore payroll exposure. Likely $300K - $500K of yearly additional spend for an EOR</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Updating Topkey assumptions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Verifying Keystone assumptions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Ben will be a "Related Party" as an officer, so the put/call, Services Schedule and recruiting arrangement should all be approved in that consent now rather than each time they're exercised.</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Schedule time to meet with CFO</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Schedule time Tuesday to meet with Jacob</w:t>
      </w:r>
    </w:p>
    <w:p w:rsidR="00000000" w:rsidDel="00000000" w:rsidP="00000000" w:rsidRDefault="00000000" w:rsidRPr="00000000" w14:paraId="0000000E">
      <w:pPr>
        <w:rPr/>
      </w:pPr>
      <w:r w:rsidDel="00000000" w:rsidR="00000000" w:rsidRPr="00000000">
        <w:rPr/>
        <w:drawing>
          <wp:inline distB="114300" distT="114300" distL="114300" distR="114300">
            <wp:extent cx="5943600" cy="370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08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