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Keystone Bookkeepers – Topkey Offer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Issues &amp; areas of concern from Ben's perspective, and recommended edits to reach a deal both sides can sign.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Prepared by AMB Advisory Services LLC for Jon / Topkey  |  September 23, 2026  |  Documents reviewed: Keystone_LOI_v8.docx, Keystone_Offer_v10.docx, Keystone_Offer_Scenario_Analysis.pdf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90" w:lineRule="auto"/>
        <w:rPr>
          <w:color w:val="555555"/>
          <w:sz w:val="20"/>
          <w:szCs w:val="20"/>
        </w:rPr>
      </w:pPr>
      <w:r w:rsidDel="00000000" w:rsidR="00000000" w:rsidRPr="00000000">
        <w:rPr>
          <w:color w:val="555555"/>
          <w:sz w:val="20"/>
          <w:szCs w:val="20"/>
          <w:rtl w:val="0"/>
        </w:rPr>
        <w:t xml:space="preserve">Confidential – internal working draft. Tax observations are for structuring discussion only and must be confirmed by tax counsel.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If Ben reads the current LOI the way a good advisor would tell him to, he will see a deal that asks him to trade a business he controls 100%, valued at 1.0x revenue, for a 4% common-stock position in a venture-stage company valued at 19.2x revenue, with only 17% of his proceeds in cash, a five-year employment commitment at a salary that is likely below what he distributes to himself today, and a set of governance, brand and repurchase terms that shift most of the execution risk onto him. Our own scenario analysis shows the offer beats his standalone path by only 9% in the base case (a $701K Year-5 pickup), requires Topkey to hold a 19.2x multiple and grow at 23% for five years, and loses him $1.9M to $3.2M if Topkey's multiple compresses or it raises dilutive capital. Ben will likely say no to this as drafted, or sign and later resent it – which is worse for Topkey.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90" w:lineRule="auto"/>
        <w:rPr/>
      </w:pPr>
      <w:r w:rsidDel="00000000" w:rsidR="00000000" w:rsidRPr="00000000">
        <w:rPr>
          <w:rtl w:val="0"/>
        </w:rPr>
        <w:t xml:space="preserve">The good news is that the fix is not more cash. It is </w:t>
      </w:r>
      <w:r w:rsidDel="00000000" w:rsidR="00000000" w:rsidRPr="00000000">
        <w:rPr>
          <w:b w:val="1"/>
          <w:bCs w:val="1"/>
          <w:rtl w:val="0"/>
        </w:rPr>
        <w:t xml:space="preserve">letting Ben keep a meaningful stake in Keystone</w:t>
      </w:r>
      <w:r w:rsidDel="00000000" w:rsidR="00000000" w:rsidRPr="00000000">
        <w:rPr>
          <w:rtl w:val="0"/>
        </w:rPr>
        <w:t xml:space="preserve">. Because Topkey is buying at 1.0x and paying in stock at 19.2x, every dollar of Keystone equity Ben keeps instead of taking Topkey stock is accretive to him in every case we tested except the severe downside – and even there it cushions the loss. A 51% Topkey / 49% Ben partnership, funded with the same $500K of cash, lifts Ben's base-case Year-5 value from $8.2M to roughly $14.4M while cutting Topkey's stock issuance from $2.5M to about $1.0M. We recommend Topkey lead with a 65–75% acquisition (Ben rolls 25–35%), which is the smallest rollover that still protects Ben if Topkey's multiple falls to 12x, and hold 51% as the floor Topkey needs for consolidation. Sections 5–7 lay out the scenarios, what majority ownership means for Topkey, and the tax and reporting consequences of the rollover structure.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Deal As Currently Drafted (for reference)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Term</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Current draft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Valuation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$3.0M – 1.0x pro forma LTM Sept-2026 recurring revenue (~$3.0M); implies ~6.7x EBITDA at the model's 15% steady-state margin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Consideration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$500K cash (17%) + $2.5M newly issued Topkey </w:t>
            </w:r>
            <w:r w:rsidDel="00000000" w:rsidR="00000000" w:rsidRPr="00000000">
              <w:rPr>
                <w:i w:val="1"/>
                <w:iCs w:val="1"/>
                <w:sz w:val="20"/>
                <w:szCs w:val="20"/>
                <w:vertAlign w:val="baseline"/>
                <w:rtl w:val="0"/>
              </w:rPr>
              <w:t xml:space="preserve">common</w:t>
            </w:r>
            <w:r w:rsidDel="00000000" w:rsidR="00000000" w:rsidRPr="00000000">
              <w:rPr>
                <w:sz w:val="20"/>
                <w:szCs w:val="20"/>
                <w:vertAlign w:val="baseline"/>
                <w:rtl w:val="0"/>
              </w:rPr>
              <w:t xml:space="preserve"> stock (83%) at a $60M reference valuation (~4.0% post-close)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Price protection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Re-price to next Qualified Financing (≥$3M priced round within 24 months), floor $40M pre-money; SAFEs/notes excluded; sale of Topkey "to be discussed"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Continuity protection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may repurchase a declining portion of the shares at FMV if Ben leaves voluntarily or is terminated for cause within 5 years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Employment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5-year agreement, Accounting Director reporting to CEO, $150K base + $50K growth bonus (20% net recurring revenue growth) + $50K retention bonus (85% retention); no partial payout agreed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Governance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approval for budget, hires/comp changes &gt;$80K, software/vendor contracts &gt;$10K/yr, pricing changes &gt;5%, distributions, etc.</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Post-close changes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Keystone re-brands to Topkey, banking moves to Topkey platform, VR Platform migrates to Topkey trust accounting (in development), outsourced dev moves to Topkey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Restrictive covenants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Non-compete/non-solicit for 5 years post-close </w:t>
            </w:r>
            <w:r w:rsidDel="00000000" w:rsidR="00000000" w:rsidRPr="00000000">
              <w:rPr>
                <w:i w:val="1"/>
                <w:iCs w:val="1"/>
                <w:sz w:val="20"/>
                <w:szCs w:val="20"/>
                <w:vertAlign w:val="baseline"/>
                <w:rtl w:val="0"/>
              </w:rPr>
              <w:t xml:space="preserve">or</w:t>
            </w:r>
            <w:r w:rsidDel="00000000" w:rsidR="00000000" w:rsidRPr="00000000">
              <w:rPr>
                <w:sz w:val="20"/>
                <w:szCs w:val="20"/>
                <w:vertAlign w:val="baseline"/>
                <w:rtl w:val="0"/>
              </w:rPr>
              <w:t xml:space="preserve"> 2 years post-employment, whichever is later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Escrow / indemnity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Escrow of $[X] funded at closing for [X] months – unspecified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Exclusivity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90 days with automatic rolling 30-day extensions unless Ben sends notice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Timeline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Sign LOI Sept 30; sign definitive docs Dec 18; effective Dec 31, 2026</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3. Issues &amp; Areas of Concern – If I Were Ben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Economics and valuation</w:t>
      </w:r>
    </w:p>
    <w:tbl>
      <w:tblPr>
        <w:tblStyle w:val="Table2"/>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2433.6000000000004"/>
        <w:gridCol w:w="5590.4"/>
        <w:gridCol w:w="936"/>
        <w:tblGridChange w:id="0">
          <w:tblGrid>
            <w:gridCol w:w="400"/>
            <w:gridCol w:w="2433.6000000000004"/>
            <w:gridCol w:w="5590.4"/>
            <w:gridCol w:w="93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Issue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Ben should care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Severity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Multiple arbitrage runs entirely against Ben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Keystone is priced at 1.0x revenue; Topkey stock is priced at 19.2x revenue – a 19:1 ratio. Ben gives up ~$3.0M of revenue and ends up with a claim on ~$245K of combined revenue. He will do this math (or his CPA will).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Critical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Thin upside for the risk taken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Base case: +$701K (+9%) over standalone at Year 5, and only if Topkey compounds at 23% and keeps a 19.2x multiple. Break-even CAGR is 21% – a two-point cushion over five years is not a margin of safety.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Critical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Downside is large and one-sided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multiple falls to 12x: -$1.85M vs standalone. Client wins fall to 90/yr: -$406K. 15% dilution: -$452K. Combined: -$3.2M. Ben absorbs Topkey execution risk while Topkey's downside on Keystone is capped at $500K of cash.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Critical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Reference valuation ($60M) is above Topkey's own last mark ($50M post SAFE)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LOI states the most recent SAFE was at a $50M post-money, yet Ben's shares are priced at $60M. He is effectively paying a 20% premium to the last investor with no priced round to justify it. The $40M price-protection floor still leaves him exposed 33% below his entry.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Common stock priced at a preferred-implied valuation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SAFE holders and any seed preferred sit ahead of common in a liquidation. On a 409A basis, Topkey common is likely worth a fraction of the $60M-implied price per share. Ben is receiving the most junior security at the most senior price.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Liquidity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83% of consideration is illiquid today and 94% of his Year-5 value is illiquid stock in a private company with no stated path to liquidity, no put right, no registration rights and customary transfer restrictions.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 protection against dilution after 24 months or from non-qualified raises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Same dilution as other common; SAFEs and notes below $3M do not trigger price protection – exactly how Topkey has raised to date.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Medium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Escrow will come out of his only cash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 unspecified escrow "funded at closing" plus taxes on the cash portion could leave Ben with very little liquid money at close.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Working-capital peg undefined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For a bookkeeping firm that bills in advance, the treatment of deferred revenue and prepaid fees in "normalized working capital" can swing the cash Ben is allowed to sweep by six figures.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Medium</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Employment, compensation and covenants</w:t>
      </w:r>
    </w:p>
    <w:tbl>
      <w:tblPr>
        <w:tblStyle w:val="Table3"/>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2433.6000000000004"/>
        <w:gridCol w:w="5590.4"/>
        <w:gridCol w:w="936"/>
        <w:tblGridChange w:id="0">
          <w:tblGrid>
            <w:gridCol w:w="400"/>
            <w:gridCol w:w="2433.6000000000004"/>
            <w:gridCol w:w="5590.4"/>
            <w:gridCol w:w="93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Issue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Ben should care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Severity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$150K base is likely a pay cut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As 100% owner of a ~$3M revenue firm with ~$450K of EBITDA, Ben is probably taking home well above $150K in salary plus distributions. He is being asked to buy back his own job at a discount, for five years.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Bonus targets are set at plan, with no partial payout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 net recurring revenue growth is exactly the model's base-case growth assumption. A miss of one point pays zero. Retention of 85% is measured on a definition Topkey controls.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Medium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Title and reporting line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"Accounting Director" reporting to the CEO reads as a demotion for a founder. No board or observer seat despite being (per the draft) a ~4% holder and running a unit that is ~half of combined revenue.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Medium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Continuity repurchase is one-sided and vague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"Declining portion" and "fair market value" are undefined; no carve-out for termination </w:t>
            </w:r>
            <w:r w:rsidDel="00000000" w:rsidR="00000000" w:rsidRPr="00000000">
              <w:rPr>
                <w:i w:val="1"/>
                <w:iCs w:val="1"/>
                <w:sz w:val="20"/>
                <w:szCs w:val="20"/>
                <w:vertAlign w:val="baseline"/>
                <w:rtl w:val="0"/>
              </w:rPr>
              <w:t xml:space="preserve">without</w:t>
            </w:r>
            <w:r w:rsidDel="00000000" w:rsidR="00000000" w:rsidRPr="00000000">
              <w:rPr>
                <w:sz w:val="20"/>
                <w:szCs w:val="20"/>
                <w:vertAlign w:val="baseline"/>
                <w:rtl w:val="0"/>
              </w:rPr>
              <w:t xml:space="preserve"> cause, death, disability, constructive termination, or a change of control. As drafted, Topkey could terminate him without cause in year two and he keeps his shares, but if he leaves because the brand, banking and software changes he did not agree with make the job untenable, he forfeits.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Critical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Repurchase right converts purchase price into compensation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Making consideration shares forfeitable/repurchasable based on continued employment invites the IRS to recharacterize a portion of the $2.5M as compensation (ordinary income, Section 83) rather than sale proceeds – and gives Ben a genuine reason to refuse the term.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Non-compete is effectively 7+ years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 years from closing or 2 years after employment ends, whichever is later, on top of a 5-year employment term – Ben could be out of his industry until 2033+. Courts in several states will not enforce this; Ben's counsel will strike it.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Control, integration and brand</w:t>
      </w:r>
    </w:p>
    <w:tbl>
      <w:tblPr>
        <w:tblStyle w:val="Table4"/>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2433.6000000000004"/>
        <w:gridCol w:w="5590.4"/>
        <w:gridCol w:w="936"/>
        <w:tblGridChange w:id="0">
          <w:tblGrid>
            <w:gridCol w:w="400"/>
            <w:gridCol w:w="2433.6000000000004"/>
            <w:gridCol w:w="5590.4"/>
            <w:gridCol w:w="93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Issue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Ben should care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Severity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Approval thresholds are set for a $300K business, not a $3M one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$10K/yr software approvals and $80K comp approvals mean Ben needs sign-off for a Karbon renewal or a senior accounting manager hire. "Ben keeps control" in the headline; the table says otherwise.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Loss of the Keystone brand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Ben's referral engines (PMI franchise, PMS marketplaces, conferences, content) are built on the Keystone name. Rebranding to a fintech that competes with some of those marketplaces' partners could cut off channels and hand him a growth target he cannot hit.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Forced migration to Topkey banking and trust accounting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Topkey's trust ledger is "in development." Ben's clients and his growth bonus depend on tools that work today. "Clients are not moved until the product is ready" is judged by whom?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Development team and IP move to Topkey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Arch and the practice-management build are Ben's differentiation. Once they are on Topkey's roadmap, Ben has no lever over prioritization.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Medium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Topkey's existing third-party bookkeeping arrangements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Left as an open item. If Topkey keeps referring to other bookkeepers, the "largely untapped channel" that justifies the deal is not exclusive to Keystone.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Medium</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Process, risk allocation and drafting</w:t>
      </w:r>
    </w:p>
    <w:tbl>
      <w:tblPr>
        <w:tblStyle w:val="Table5"/>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400"/>
        <w:gridCol w:w="2433.6000000000004"/>
        <w:gridCol w:w="5590.4"/>
        <w:gridCol w:w="936"/>
        <w:tblGridChange w:id="0">
          <w:tblGrid>
            <w:gridCol w:w="400"/>
            <w:gridCol w:w="2433.6000000000004"/>
            <w:gridCol w:w="5590.4"/>
            <w:gridCol w:w="936"/>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Issue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Why Ben should care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Severity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Exclusivity auto-renews forever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Rolling 30-day extensions unless </w:t>
            </w:r>
            <w:r w:rsidDel="00000000" w:rsidR="00000000" w:rsidRPr="00000000">
              <w:rPr>
                <w:i w:val="1"/>
                <w:iCs w:val="1"/>
                <w:sz w:val="20"/>
                <w:szCs w:val="20"/>
                <w:vertAlign w:val="baseline"/>
                <w:rtl w:val="0"/>
              </w:rPr>
              <w:t xml:space="preserve">Ben</w:t>
            </w:r>
            <w:r w:rsidDel="00000000" w:rsidR="00000000" w:rsidRPr="00000000">
              <w:rPr>
                <w:sz w:val="20"/>
                <w:szCs w:val="20"/>
                <w:vertAlign w:val="baseline"/>
                <w:rtl w:val="0"/>
              </w:rPr>
              <w:t xml:space="preserve"> sends notice puts the burden on the seller and survives termination. A seller's counsel will flag this immediately.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Indemnity exposure sits on Ben with no cap, basket or R&amp;W insurance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Offshore contractor classification, developer IP assignment and S-corp mechanics are all diligence items </w:t>
            </w:r>
            <w:r w:rsidDel="00000000" w:rsidR="00000000" w:rsidRPr="00000000">
              <w:rPr>
                <w:i w:val="1"/>
                <w:iCs w:val="1"/>
                <w:sz w:val="20"/>
                <w:szCs w:val="20"/>
                <w:vertAlign w:val="baseline"/>
                <w:rtl w:val="0"/>
              </w:rPr>
              <w:t xml:space="preserve">and</w:t>
            </w:r>
            <w:r w:rsidDel="00000000" w:rsidR="00000000" w:rsidRPr="00000000">
              <w:rPr>
                <w:sz w:val="20"/>
                <w:szCs w:val="20"/>
                <w:vertAlign w:val="baseline"/>
                <w:rtl w:val="0"/>
              </w:rPr>
              <w:t xml:space="preserve"> likely reps. Ben's only liquid asset to satisfy claims is the $500K.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High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 deferral is asserted, not shown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The LOI promises the stock portion is tax-deferred, subject to counsel. Ben alone does not have 80% control of Topkey after closing, so Section 351 is unavailable; deferral requires a Section 368 reorganization (e.g., reverse triangular merger with ≥80% voting stock). If the structure fails, Ben owes tax on $2.5M of illiquid stock with $500K of cash.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Critical</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Sale of Topkey before a priced round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 be discussed" – yet it is the most likely liquidity event. Ben needs to know whether his shares get the price protection in a sale.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Medium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Internal inconsistencies Ben's counsel will catch</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$50M last post-money vs $60M reference; "Total Valuation" vs "Reference Valuation" terminology; Offer v10 says "Topkey Equity Terms" while LOI says "Ownership: Topkey owns 100%" yet the open item contemplates a minority interest; bracketed placeholders throughout (company metrics, escrow, entity names).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Low</w:t>
            </w:r>
          </w:p>
        </w:tc>
      </w:tr>
    </w:tbl>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Recommended Edits &amp; Fixes (Standalone Fixes to the Current Structure)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Rule="auto"/>
        <w:rPr/>
      </w:pPr>
      <w:r w:rsidDel="00000000" w:rsidR="00000000" w:rsidRPr="00000000">
        <w:pict>
          <v:rect style="width:0.0pt;height:1.5pt" o:hr="t" o:hrstd="t" o:hralign="center" fillcolor="#A0A0A0" stroked="f"/>
        </w:pict>
      </w:r>
      <w:r w:rsidDel="00000000" w:rsidR="00000000" w:rsidRPr="00000000">
        <w:rPr>
          <w:rtl w:val="0"/>
        </w:rPr>
        <w:t xml:space="preserve">These fixes improve the deal for Ben even if the structure stays a 100% acquisition. Most cost Topkey little or no cash.</w:t>
      </w:r>
    </w:p>
    <w:tbl>
      <w:tblPr>
        <w:tblStyle w:val="Table6"/>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246.3999999999996"/>
        <w:gridCol w:w="5054.400000000001"/>
        <w:gridCol w:w="2059.2"/>
        <w:tblGridChange w:id="0">
          <w:tblGrid>
            <w:gridCol w:w="2246.3999999999996"/>
            <w:gridCol w:w="5054.400000000001"/>
            <w:gridCol w:w="2059.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Term</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Recommended change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Cost to Topkey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Reference valuation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Price Ben's shares at the $50M last post-money (or the next priced round, whichever is lower), and lift the floor to $50M pre-money. Remove the $3M threshold so any priced round within 36 months triggers the true-up.</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~0.8% more dilution; no cash</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Security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Issue Ben the same class as the SAFE conversion / seed preferred (or a 1x non-participating preferred pari passu with it), not common. If Topkey insists on common, reduce the reference valuation to a 409A-consistent common price.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Liquidation preference only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Liquidity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Put right on up to 50% of his shares at FMV (independent appraiser) beginning year 4; pro rata participation in any company-sponsored secondary; tag-along on founder sales; piggyback registration rights.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Contingent; likely never funded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Continuity protection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Limit to termination for cause or voluntary resignation without good reason; declining schedule 100% → 0% over 36 months (not 60); FMV set by independent appraiser at Topkey's cost; full acceleration on death, disability, termination without cause, good-reason resignation (including material change to Ben's role, brand or Keystone's tools without his consent) or change of control.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Cash at close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Keep $500K cash but add a </w:t>
            </w:r>
            <w:r w:rsidDel="00000000" w:rsidR="00000000" w:rsidRPr="00000000">
              <w:rPr>
                <w:b w:val="1"/>
                <w:bCs w:val="1"/>
                <w:sz w:val="20"/>
                <w:szCs w:val="20"/>
                <w:vertAlign w:val="baseline"/>
                <w:rtl w:val="0"/>
              </w:rPr>
              <w:t xml:space="preserve">seller note</w:t>
            </w:r>
            <w:r w:rsidDel="00000000" w:rsidR="00000000" w:rsidRPr="00000000">
              <w:rPr>
                <w:sz w:val="20"/>
                <w:szCs w:val="20"/>
                <w:vertAlign w:val="baseline"/>
                <w:rtl w:val="0"/>
              </w:rPr>
              <w:t xml:space="preserve"> of $500K–$750K, 3–4 years, 7–8% interest, paid from Keystone's own cash flow (~$450K EBITDA covers it), subordinated to senior debt only. This fixes the cash/escrow problem without touching Topkey's balance sheet.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Paid from Keystone CF</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Escrow / indemnity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Escrow of 10% of cash proceeds (~$50K) or satisfy indemnity by set-off against the seller note / Topkey shares at the reference price rather than cash; cap at 10% of purchase price; 0.75% basket; 12–15 month survival for general reps; consider a small R&amp;W policy.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Modest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Base salary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$200K–$225K, indexed to what Ben demonstrably draws today (validate in QoE), plus a Topkey option grant on the standard employee plan vesting over 4 years.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~$50–75K/yr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Bonus design</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Sliding scale: 50% payout at 12% growth, 100% at 20%, 150% at 28%. Same shape for retention. Bonus pool moves with the annual budget Ben proposes.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Neutral in expectation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Title / governance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"Managing Director, Keystone by Topkey" or "Head of Accounting Services," on Topkey's leadership team; board observer seat while he holds ≥2%.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Approval thresholds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Software/vendor: $50K/yr; hires/comp: $150K; pricing: 10%; anything within approved budget needs no separate approval. Add a deadlock/escalation clause.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Brand &amp; tools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"Keystone, a Topkey company" for a minimum of 24 months; any full rebrand requires Ben's consent while employed. Migration of VR Platform, Karbon and banking only after a written readiness acceptance signed by Ben; growth bonus targets adjusted for any migration year.</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Referral exclusivity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Keystone becomes Topkey's exclusive bookkeeping partner for platform customers; Topkey winds down third-party bookkeeping referrals within 12 months.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Strategic – aligned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Non-compete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 years from closing (or 12 months post-employment, whichever is </w:t>
            </w:r>
            <w:r w:rsidDel="00000000" w:rsidR="00000000" w:rsidRPr="00000000">
              <w:rPr>
                <w:i w:val="1"/>
                <w:iCs w:val="1"/>
                <w:sz w:val="20"/>
                <w:szCs w:val="20"/>
                <w:vertAlign w:val="baseline"/>
                <w:rtl w:val="0"/>
              </w:rPr>
              <w:t xml:space="preserve">later</w:t>
            </w:r>
            <w:r w:rsidDel="00000000" w:rsidR="00000000" w:rsidRPr="00000000">
              <w:rPr>
                <w:sz w:val="20"/>
                <w:szCs w:val="20"/>
                <w:vertAlign w:val="baseline"/>
                <w:rtl w:val="0"/>
              </w:rPr>
              <w:t xml:space="preserve">, capped at 5 years total); carve-out for passive investments and CPA/advisory work outside STR/vacation-rental bookkeeping.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Exclusivity</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60 days; a single 30-day extension only by mutual written consent; Topkey's diligence-milestone commitments in exchange.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Tax</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Commit in the LOI to a structure that actually delivers deferral (F-reorg + reverse triangular merger, or the partnership structure in Section 7), name joint tax counsel, and add a gross-up if the agreed structure fails to deliver deferral for reasons within Topkey's control.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Contingent</w:t>
            </w:r>
          </w:p>
        </w:tc>
      </w:tr>
    </w:tbl>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Better Path: Keystone Partnership with Ben Rolling Equity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70" w:lineRule="auto"/>
        <w:rPr/>
      </w:pPr>
      <w:r w:rsidDel="00000000" w:rsidR="00000000" w:rsidRPr="00000000">
        <w:pict>
          <v:rect style="width:0.0pt;height:1.5pt" o:hr="t" o:hrstd="t" o:hralign="center" fillcolor="#A0A0A0" stroked="f"/>
        </w:pict>
      </w:r>
      <w:r w:rsidDel="00000000" w:rsidR="00000000" w:rsidRPr="00000000">
        <w:rPr>
          <w:rtl w:val="0"/>
        </w:rPr>
        <w:t xml:space="preserve">The single most powerful change is to let Ben keep a stake in Keystone instead of converting all of it into Topkey stock. The mechanics that make the current deal unattractive to Ben – 1.0x for his business, 19.2x for Topkey's – make a rollover very attractive to him and relatively cheap for Topkey, because Topkey issues less stock and still puts the same $500K of cash in.</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Structure</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Keystone completes an F-reorganization pre-close (new S-corp holdco, QSub election, convert operating company to an LLC), so the target is a wholly owned LLC.</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Topkey acquires X% of the Keystone LLC interests for $500K cash plus Topkey stock; Ben's holdco retains (1−X)%. Keystone LLC becomes a partnership for tax purposes with an operating agreement governing the two members.</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Topkey holds ≥51% so it consolidates Keystone under GAAP (ASC 810) and can present combined revenue and the software-integration story to its own investors.</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Ben's retained interest is protected by a minority-holder package (Section 6) and monetized over time through a put/call on a formula price.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Scenario mechanics (same $500K cash in every case)</w:t>
      </w:r>
    </w:p>
    <w:tbl>
      <w:tblPr>
        <w:tblStyle w:val="Table7"/>
        <w:tblW w:w="9360.000000000002"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Topkey buys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Ben rolls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Purchase price</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Cash</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Topkey stock issued</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Ben's Topkey %</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Topkey stock reduction vs current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 (current)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$3.00M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$0.50M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$2.50M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$2.70M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$0.50M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$2.20M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$0.30M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$2.40M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$0.50M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$1.90M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$0.60M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30%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$2.10M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$0.50M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$1.60M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$0.90M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60%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$1.80M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$0.50M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$1.30M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$1.20M</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51%</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$1.53M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$0.50M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$1.03M</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$1.47M</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70" w:before="210" w:lineRule="auto"/>
        <w:rPr>
          <w:color w:val="555555"/>
          <w:sz w:val="20"/>
          <w:szCs w:val="20"/>
        </w:rPr>
      </w:pPr>
      <w:r w:rsidDel="00000000" w:rsidR="00000000" w:rsidRPr="00000000">
        <w:rPr>
          <w:color w:val="555555"/>
          <w:sz w:val="20"/>
          <w:szCs w:val="20"/>
          <w:rtl w:val="0"/>
        </w:rPr>
        <w:t xml:space="preserve">Ben's Topkey % = stock issued ÷ ($59.5M Topkey ex-Keystone + Topkey's share of Keystone at $3.0M), consistent with the scenario-analysis model.</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Ben's Year-5 value under each rollover ($M, incl. $0.5M cash)</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Rule="auto"/>
        <w:rPr>
          <w:color w:val="555555"/>
          <w:sz w:val="20"/>
          <w:szCs w:val="20"/>
        </w:rPr>
      </w:pPr>
      <w:r w:rsidDel="00000000" w:rsidR="00000000" w:rsidRPr="00000000">
        <w:rPr>
          <w:color w:val="555555"/>
          <w:sz w:val="20"/>
          <w:szCs w:val="20"/>
          <w:rtl w:val="0"/>
        </w:rPr>
        <w:t xml:space="preserve">Topkey ex-Keystone Year 5 = $170.3M (19.2x multiple, 23% CAGR) in base/mid/conservative cases; $106.4M in downside (12x). Keystone Year 5 in partnership = $22.0M (3.0x software-integration multiple on $7.3M revenue), $14.7M (2.0x) or $9.2M (1.25x). Standalone comparison = $7.49M.</w:t>
      </w:r>
    </w:p>
    <w:tbl>
      <w:tblPr>
        <w:tblStyle w:val="Table8"/>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Ben rolls</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sz w:val="20"/>
                <w:szCs w:val="20"/>
                <w:shd w:fill="auto" w:val="clear"/>
                <w:vertAlign w:val="baseline"/>
              </w:rPr>
            </w:pPr>
            <w:r w:rsidDel="00000000" w:rsidR="00000000" w:rsidRPr="00000000">
              <w:rPr>
                <w:sz w:val="20"/>
                <w:szCs w:val="20"/>
                <w:shd w:fill="auto" w:val="clear"/>
                <w:vertAlign w:val="baseline"/>
                <w:rtl w:val="0"/>
              </w:rPr>
              <w:t xml:space="preserve">Base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19.2x / 3.0x</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sz w:val="20"/>
                <w:szCs w:val="20"/>
                <w:shd w:fill="auto" w:val="clear"/>
                <w:vertAlign w:val="baseline"/>
              </w:rPr>
            </w:pPr>
            <w:r w:rsidDel="00000000" w:rsidR="00000000" w:rsidRPr="00000000">
              <w:rPr>
                <w:sz w:val="20"/>
                <w:szCs w:val="20"/>
                <w:shd w:fill="auto" w:val="clear"/>
                <w:vertAlign w:val="baseline"/>
                <w:rtl w:val="0"/>
              </w:rPr>
              <w:t xml:space="preserve">Mid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19.2x / 2.0x</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sz w:val="20"/>
                <w:szCs w:val="20"/>
                <w:shd w:fill="auto" w:val="clear"/>
                <w:vertAlign w:val="baseline"/>
              </w:rPr>
            </w:pPr>
            <w:r w:rsidDel="00000000" w:rsidR="00000000" w:rsidRPr="00000000">
              <w:rPr>
                <w:sz w:val="20"/>
                <w:szCs w:val="20"/>
                <w:shd w:fill="auto" w:val="clear"/>
                <w:vertAlign w:val="baseline"/>
                <w:rtl w:val="0"/>
              </w:rPr>
              <w:t xml:space="preserve">Conservative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19.2x / 1.25x</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sz w:val="20"/>
                <w:szCs w:val="20"/>
                <w:shd w:fill="auto" w:val="clear"/>
                <w:vertAlign w:val="baseline"/>
              </w:rPr>
            </w:pPr>
            <w:r w:rsidDel="00000000" w:rsidR="00000000" w:rsidRPr="00000000">
              <w:rPr>
                <w:sz w:val="20"/>
                <w:szCs w:val="20"/>
                <w:shd w:fill="auto" w:val="clear"/>
                <w:vertAlign w:val="baseline"/>
                <w:rtl w:val="0"/>
              </w:rPr>
              <w:t xml:space="preserve">Downside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12x / 2.0x</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sz w:val="20"/>
                <w:szCs w:val="20"/>
                <w:shd w:fill="auto" w:val="clear"/>
                <w:vertAlign w:val="baseline"/>
              </w:rPr>
            </w:pPr>
            <w:r w:rsidDel="00000000" w:rsidR="00000000" w:rsidRPr="00000000">
              <w:rPr>
                <w:sz w:val="20"/>
                <w:szCs w:val="20"/>
                <w:shd w:fill="auto" w:val="clear"/>
                <w:vertAlign w:val="baseline"/>
                <w:rtl w:val="0"/>
              </w:rPr>
              <w:t xml:space="preserve">Severe downside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12x / 1.25x / 15% dilution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0% (current deal)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$8.2M (+9%)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$7.9M (+5%)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$7.7M (+3%)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$5.3M (−29%)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$4.4M (−41%)</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$9.4M (+26%)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$8.5M (+13%)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$7.7M (+3%)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$6.2M (−17%)</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$4.9M (−35%)</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20%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$10.7M (+42%)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$9.0M (+20%)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$7.8M (+4%)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$7.1M (−6%)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$5.3M (−29%)</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30%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$11.9M (+59%)</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$9.6M (+28%)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$7.8M (+5%)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b w:val="1"/>
                <w:bCs w:val="1"/>
                <w:sz w:val="20"/>
                <w:szCs w:val="20"/>
                <w:vertAlign w:val="baseline"/>
                <w:rtl w:val="0"/>
              </w:rPr>
              <w:t xml:space="preserve">$7.9M (+6%)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75" w:before="75" w:lineRule="auto"/>
              <w:rPr>
                <w:b w:val="1"/>
                <w:bCs w:val="1"/>
                <w:sz w:val="20"/>
                <w:szCs w:val="20"/>
                <w:vertAlign w:val="baseline"/>
              </w:rPr>
            </w:pPr>
            <w:r w:rsidDel="00000000" w:rsidR="00000000" w:rsidRPr="00000000">
              <w:rPr>
                <w:rFonts w:ascii="Arial Unicode MS" w:cs="Arial Unicode MS" w:eastAsia="Arial Unicode MS" w:hAnsi="Arial Unicode MS"/>
                <w:b w:val="1"/>
                <w:bCs w:val="1"/>
                <w:sz w:val="20"/>
                <w:szCs w:val="20"/>
                <w:vertAlign w:val="baseline"/>
                <w:rtl w:val="0"/>
              </w:rPr>
              <w:t xml:space="preserve">$5.7M (−23%)</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40%</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$13.2M (+76%)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$10.2M (+36%)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$7.9M (+5%)</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$8.8M (+18%)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$6.2M (−17%)</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49% (51/49 partnership)</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$14.4M (+92%)</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$10.7M (+43%)</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$8.0M (+6%)</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$9.6M (+28%)</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rFonts w:ascii="Arial Unicode MS" w:cs="Arial Unicode MS" w:eastAsia="Arial Unicode MS" w:hAnsi="Arial Unicode MS"/>
                <w:sz w:val="20"/>
                <w:szCs w:val="20"/>
                <w:vertAlign w:val="baseline"/>
                <w:rtl w:val="0"/>
              </w:rPr>
              <w:t xml:space="preserve">$6.6M (−12%)</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90" w:before="330" w:lineRule="auto"/>
        <w:ind w:left="180" w:right="180" w:firstLine="0"/>
        <w:rPr>
          <w:shd w:fill="f4f6fa" w:val="clear"/>
        </w:rPr>
      </w:pPr>
      <w:r w:rsidDel="00000000" w:rsidR="00000000" w:rsidRPr="00000000">
        <w:rPr>
          <w:b w:val="1"/>
          <w:bCs w:val="1"/>
          <w:shd w:fill="f4f6fa" w:val="clear"/>
          <w:rtl w:val="0"/>
        </w:rPr>
        <w:t xml:space="preserve">What the table says.</w:t>
      </w:r>
      <w:r w:rsidDel="00000000" w:rsidR="00000000" w:rsidRPr="00000000">
        <w:rPr>
          <w:shd w:fill="f4f6fa" w:val="clear"/>
          <w:rtl w:val="0"/>
        </w:rPr>
        <w:t xml:space="preserve"> Rolling equity is accretive to Ben in every scenario and never hurts him: even in the conservative case it is a wash, and in every downside case it cushions the loss. The </w:t>
      </w:r>
      <w:r w:rsidDel="00000000" w:rsidR="00000000" w:rsidRPr="00000000">
        <w:rPr>
          <w:b w:val="1"/>
          <w:bCs w:val="1"/>
          <w:shd w:fill="f4f6fa" w:val="clear"/>
          <w:rtl w:val="0"/>
        </w:rPr>
        <w:t xml:space="preserve">30% rollover is the inflection point</w:t>
      </w:r>
      <w:r w:rsidDel="00000000" w:rsidR="00000000" w:rsidRPr="00000000">
        <w:rPr>
          <w:shd w:fill="f4f6fa" w:val="clear"/>
          <w:rtl w:val="0"/>
        </w:rPr>
        <w:t xml:space="preserve"> – it is the smallest stake at which Ben still beats standalone if Topkey's multiple compresses to 12x. At 20% he roughly breaks even in that downside; at 10% the deal still depends almost entirely on Topkey.</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Answering the three questions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Ben's lowest rollover for this to still be a great deal:</w:t>
      </w:r>
      <w:r w:rsidDel="00000000" w:rsidR="00000000" w:rsidRPr="00000000">
        <w:rPr>
          <w:rtl w:val="0"/>
        </w:rPr>
        <w:t xml:space="preserve"> 20% is the floor at which Ben is roughly protected against Topkey multiple compression; </w:t>
      </w:r>
      <w:r w:rsidDel="00000000" w:rsidR="00000000" w:rsidRPr="00000000">
        <w:rPr>
          <w:b w:val="1"/>
          <w:bCs w:val="1"/>
          <w:rtl w:val="0"/>
        </w:rPr>
        <w:t xml:space="preserve">25–30% is the level at which the deal is comfortably better than standalone in every case except the severe combined downside</w:t>
      </w:r>
      <w:r w:rsidDel="00000000" w:rsidR="00000000" w:rsidRPr="00000000">
        <w:rPr>
          <w:rtl w:val="0"/>
        </w:rPr>
        <w:t xml:space="preserve">, which no structure fully fixes. Below 20%, Ben is still essentially buying Topkey stock with his company.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Recommended Topkey opening position:</w:t>
      </w:r>
      <w:r w:rsidDel="00000000" w:rsidR="00000000" w:rsidRPr="00000000">
        <w:rPr>
          <w:rtl w:val="0"/>
        </w:rPr>
        <w:t xml:space="preserve"> Topkey acquires 70–75%, Ben rolls 25–30%. This cuts Topkey's stock issuance to ~$1.6–1.75M (~2.6–2.9% dilution vs 4.0%), keeps consolidation, and gives Ben a Year-5 base case ~$11–12M.</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b w:val="1"/>
          <w:bCs w:val="1"/>
          <w:rtl w:val="0"/>
        </w:rPr>
        <w:t xml:space="preserve">The 51/49 partnership:</w:t>
      </w:r>
      <w:r w:rsidDel="00000000" w:rsidR="00000000" w:rsidRPr="00000000">
        <w:rPr>
          <w:rtl w:val="0"/>
        </w:rPr>
        <w:t xml:space="preserve"> Best for Ben ($14.4M base case) and still workable for Topkey – Topkey consolidates, controls the board, and issues only ~$1.0M of stock. Its cost is that Topkey's economic share of Keystone's growth drops by half, and a 49% partner has real leverage in every governance discussion. It is the right answer if Topkey's priority is locking Ben in as a fully motivated co-owner; the 70/30 is the right answer if Topkey's priority is capturing Keystone's upside for its own cap table.</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Other options worth putting on the table</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Seller note in lieu of part of the stock</w:t>
      </w:r>
      <w:r w:rsidDel="00000000" w:rsidR="00000000" w:rsidRPr="00000000">
        <w:rPr>
          <w:rtl w:val="0"/>
        </w:rPr>
        <w:t xml:space="preserve"> ($500K–$1M, 3–4 years, paid from Keystone cash flow). Gives Ben certainty and a tax-efficient installment stream; costs Topkey no balance-sheet cash.</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Cash earnout funded by Keystone</w:t>
      </w:r>
      <w:r w:rsidDel="00000000" w:rsidR="00000000" w:rsidRPr="00000000">
        <w:rPr>
          <w:rtl w:val="0"/>
        </w:rPr>
        <w:t xml:space="preserve"> tied to Topkey-referred client conversions – paid only if the "untapped channel" actually delivers, so both sides believe it.</w:t>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Staged acquisition:</w:t>
      </w:r>
      <w:r w:rsidDel="00000000" w:rsidR="00000000" w:rsidRPr="00000000">
        <w:rPr>
          <w:rtl w:val="0"/>
        </w:rPr>
        <w:t xml:space="preserve"> 51% now at 1.0x; Topkey call / Ben put on the remaining 49% in years 3–5 at the greater of 1.25x revenue or 6.0x trailing EBITDA, payable in cash or Topkey stock at Ben's election. Converts today's valuation argument into a formula both sides live with.</w:t>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Two-way referral economics:</w:t>
      </w:r>
      <w:r w:rsidDel="00000000" w:rsidR="00000000" w:rsidRPr="00000000">
        <w:rPr>
          <w:rtl w:val="0"/>
        </w:rPr>
        <w:t xml:space="preserve"> Keystone pays Topkey a referral fee (or Topkey a revenue share) on cross-sold clients while a minority partner – keeps Topkey whole on its channel contribution without increasing the purchase price.</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What Majority Ownership (51%+) Means for Topkey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620.7999999999997"/>
        <w:gridCol w:w="6739.200000000001"/>
        <w:tblGridChange w:id="0">
          <w:tblGrid>
            <w:gridCol w:w="2620.7999999999997"/>
            <w:gridCol w:w="6739.200000000001"/>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Dimension</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Implication for Topkey / Jon</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Accounting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consolidates 100% of Keystone's revenue, EBITDA and balance sheet under ASC 810, with Ben's share shown as a noncontrolling interest. Investors see combined revenue; the software-integration multiple story still works.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Control</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appoints a majority of the Keystone board/managers, approves budget and strategy, and can direct integration – subject to the reserved matters Ben will require.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Reserved matters Ben will (reasonably) demand</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Sale of Keystone or substantially all assets; new equity issuance or admission of members; related-party transactions with Topkey (intercompany pricing, banking fees, software charges); rebranding; changes to distribution policy or tax distributions; debt above a threshold; changes to Ben's role or compensation; amendments to the operating agreement; bankruptcy.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Intercompany dealing</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Because Topkey both owns 51% and sells software/banking to Keystone, every intercompany arrangement must be at arm's length or Ben's 49% is being diluted through pricing. Expect a related-party protocol in the operating agreement.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Distributions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Keystone LLC (taxed as a partnership) must make </w:t>
            </w:r>
            <w:r w:rsidDel="00000000" w:rsidR="00000000" w:rsidRPr="00000000">
              <w:rPr>
                <w:b w:val="1"/>
                <w:bCs w:val="1"/>
                <w:sz w:val="20"/>
                <w:szCs w:val="20"/>
                <w:vertAlign w:val="baseline"/>
                <w:rtl w:val="0"/>
              </w:rPr>
              <w:t xml:space="preserve">mandatory tax distributions</w:t>
            </w:r>
            <w:r w:rsidDel="00000000" w:rsidR="00000000" w:rsidRPr="00000000">
              <w:rPr>
                <w:sz w:val="20"/>
                <w:szCs w:val="20"/>
                <w:vertAlign w:val="baseline"/>
                <w:rtl w:val="0"/>
              </w:rPr>
              <w:t xml:space="preserve"> to both members. Excess cash distribution policy must be agreed; Topkey cannot sweep Keystone cash to fund Topkey burn without Ben's consent.</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Exit mechanics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Drag-along for Topkey on a sale of Keystone at or above a floor price; tag-along for Ben; ROFR on transfers; the put/call formula above to avoid a permanent 51/49 stalemate; Ben's retained interest converts to Topkey stock on a Topkey sale/IPO at the same formula.</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Ben's alignment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 keeps direct upside in Keystone, so the growth and retention bonuses matter less and can be smaller; the continuity repurchase becomes largely unnecessary because his economics already depend on Keystone performing.</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Topkey's economic trade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At 70/30, Topkey's share of Keystone's Year-5 partnership value falls from $22.0M to $15.4M – but it issued $0.9M less stock (worth ~$2.8M at Year 5 under the model), so the net give-up is ~$3.8M against a deal that is far more likely to close and to retain Ben. At 51/49 the net give-up is ~$6.3M.</w:t>
            </w:r>
          </w:p>
        </w:tc>
      </w:tr>
    </w:tbl>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Tax Implications &amp; Reporting Challenges of the Rollover Structure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90" w:before="120" w:lineRule="auto"/>
        <w:ind w:left="180" w:right="180" w:firstLine="0"/>
        <w:rPr>
          <w:shd w:fill="fff3cd" w:val="clear"/>
        </w:rPr>
      </w:pPr>
      <w:r w:rsidDel="00000000" w:rsidR="00000000" w:rsidRPr="00000000">
        <w:pict>
          <v:rect style="width:0.0pt;height:1.5pt" o:hr="t" o:hrstd="t" o:hralign="center" fillcolor="#A0A0A0" stroked="f"/>
        </w:pict>
      </w:r>
      <w:r w:rsidDel="00000000" w:rsidR="00000000" w:rsidRPr="00000000">
        <w:rPr>
          <w:b w:val="1"/>
          <w:bCs w:val="1"/>
          <w:shd w:fill="fff3cd" w:val="clear"/>
          <w:rtl w:val="0"/>
        </w:rPr>
        <w:t xml:space="preserve">Framing for Ben:</w:t>
      </w:r>
      <w:r w:rsidDel="00000000" w:rsidR="00000000" w:rsidRPr="00000000">
        <w:rPr>
          <w:shd w:fill="fff3cd" w:val="clear"/>
          <w:rtl w:val="0"/>
        </w:rPr>
        <w:t xml:space="preserve"> in a partnership structure, the portion of Keystone Ben </w:t>
      </w:r>
      <w:r w:rsidDel="00000000" w:rsidR="00000000" w:rsidRPr="00000000">
        <w:rPr>
          <w:i w:val="1"/>
          <w:iCs w:val="1"/>
          <w:shd w:fill="fff3cd" w:val="clear"/>
          <w:rtl w:val="0"/>
        </w:rPr>
        <w:t xml:space="preserve">keeps</w:t>
      </w:r>
      <w:r w:rsidDel="00000000" w:rsidR="00000000" w:rsidRPr="00000000">
        <w:rPr>
          <w:shd w:fill="fff3cd" w:val="clear"/>
          <w:rtl w:val="0"/>
        </w:rPr>
        <w:t xml:space="preserve"> is not taxed at all; the cash is taxed; and the Topkey stock is very likely taxed at closing even though he cannot sell it. That last point is the trap, and it is worse the more Topkey stock he takes. Everything below must be confirmed by tax counsel; several of these rules changed in 2025.</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Why the S-corporation matters</w:t>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Topkey (a C corporation) cannot own S-corporation stock. The moment Topkey buys a share of Keystone Inc., the S election terminates and Keystone becomes a C corporation with double taxation on Ben's retained share. </w:t>
      </w:r>
      <w:r w:rsidDel="00000000" w:rsidR="00000000" w:rsidRPr="00000000">
        <w:rPr>
          <w:b w:val="1"/>
          <w:bCs w:val="1"/>
          <w:rtl w:val="0"/>
        </w:rPr>
        <w:t xml:space="preserve">The F-reorganization + LLC conversion is therefore not optional</w:t>
      </w:r>
      <w:r w:rsidDel="00000000" w:rsidR="00000000" w:rsidRPr="00000000">
        <w:rPr>
          <w:rtl w:val="0"/>
        </w:rPr>
        <w:t xml:space="preserve"> in any rollover structure – it is what makes a partnership possible.</w:t>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Post F-reorg, Ben's holdco (S-corp) owns 100% of Keystone LLC (disregarded). Selling X% of the LLC to Topkey is treated under Rev. Rul. 99-6 as Ben selling an undivided X% of each of Keystone's assets and both parties contributing to a new partnership. Consequences: goodwill and client relationships – long-term capital gain (20% federal + 3.8% NIIT); any cash-basis receivables, unbilled work-in-process and depreciation recapture – ordinary income. A Form 8594 allocation is required from both sides.</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Tax on the Topkey stock</w:t>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Section 351 does not work for Ben alone</w:t>
      </w:r>
      <w:r w:rsidDel="00000000" w:rsidR="00000000" w:rsidRPr="00000000">
        <w:rPr>
          <w:rtl w:val="0"/>
        </w:rPr>
        <w:t xml:space="preserve"> – he must own 80% of Topkey immediately after the exchange. He will own 2–4%.</w:t>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Section 368 reorganizations require Topkey to acquire the whole company</w:t>
      </w:r>
      <w:r w:rsidDel="00000000" w:rsidR="00000000" w:rsidRPr="00000000">
        <w:rPr>
          <w:rtl w:val="0"/>
        </w:rPr>
        <w:t xml:space="preserve"> (substantially all assets, or control of the stock). A partial acquisition with Ben rolling at the Keystone level is not a reorganization. So in a 70/30 or 51/49 deal, the Topkey stock is </w:t>
      </w:r>
      <w:r w:rsidDel="00000000" w:rsidR="00000000" w:rsidRPr="00000000">
        <w:rPr>
          <w:b w:val="1"/>
          <w:bCs w:val="1"/>
          <w:rtl w:val="0"/>
        </w:rPr>
        <w:t xml:space="preserve">taxable consideration at closing at its fair market value</w:t>
      </w:r>
      <w:r w:rsidDel="00000000" w:rsidR="00000000" w:rsidRPr="00000000">
        <w:rPr>
          <w:rtl w:val="0"/>
        </w:rPr>
        <w:t xml:space="preserve">.</w:t>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Illustrative federal tax (assuming near-zero basis, all LTCG at 23.8%, no state tax – Ben's state of residence to be confirmed): 100% sale with deferral failing: ~$710K on $500K of cash. 70/30 rollover: ~$500K of tax on $2.1M of taxable consideration – essentially the entire cash payment. 51/49: ~$360K. </w:t>
      </w:r>
      <w:r w:rsidDel="00000000" w:rsidR="00000000" w:rsidRPr="00000000">
        <w:rPr>
          <w:b w:val="1"/>
          <w:bCs w:val="1"/>
          <w:rtl w:val="0"/>
        </w:rPr>
        <w:t xml:space="preserve">Ben cannot accept a structure where tax exceeds cash.</w:t>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Ways to deal with it (counsel to evaluate): (a) two-step structure – Topkey acquires 100% via a reverse triangular merger for Topkey voting stock plus $500K boot (tax-deferred on the stock, gain recognized only up to boot), then Ben receives a Keystone-level equity/profits interest under Rev. Proc. 93-27 – gets deferral on the Topkey stock but changes the character of his retained piece; (b) reduce Topkey stock and replace it with a seller note (installment reporting under Section 453 defers gain until each payment; note that purchaser stock is </w:t>
      </w:r>
      <w:r w:rsidDel="00000000" w:rsidR="00000000" w:rsidRPr="00000000">
        <w:rPr>
          <w:i w:val="1"/>
          <w:iCs w:val="1"/>
          <w:rtl w:val="0"/>
        </w:rPr>
        <w:t xml:space="preserve">not</w:t>
      </w:r>
      <w:r w:rsidDel="00000000" w:rsidR="00000000" w:rsidRPr="00000000">
        <w:rPr>
          <w:rtl w:val="0"/>
        </w:rPr>
        <w:t xml:space="preserve"> eligible for installment treatment); (c) a tax gross-up or a bridge loan against the Topkey shares; (d) a 409A-based FMV for Topkey common that is materially below the $60M-implied price, which lowers the taxable amount – and simultaneously proves Issue #5.</w:t>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QSBS opportunity (Section 1202):</w:t>
      </w:r>
      <w:r w:rsidDel="00000000" w:rsidR="00000000" w:rsidRPr="00000000">
        <w:rPr>
          <w:rtl w:val="0"/>
        </w:rPr>
        <w:t xml:space="preserve"> if Topkey is a domestic C corporation with aggregate gross assets under the threshold (raised to $75M for stock issued after July 4, 2025), Topkey stock Ben receives in a </w:t>
      </w:r>
      <w:r w:rsidDel="00000000" w:rsidR="00000000" w:rsidRPr="00000000">
        <w:rPr>
          <w:i w:val="1"/>
          <w:iCs w:val="1"/>
          <w:rtl w:val="0"/>
        </w:rPr>
        <w:t xml:space="preserve">taxable</w:t>
      </w:r>
      <w:r w:rsidDel="00000000" w:rsidR="00000000" w:rsidRPr="00000000">
        <w:rPr>
          <w:rtl w:val="0"/>
        </w:rPr>
        <w:t xml:space="preserve"> exchange is original-issuance QSBS with a fresh holding period and a potential exclusion of up to $15M of gain (50% / 75% / 100% at 3 / 4 / 5 years under the 2025 changes). Paradoxically, a taxable receipt of Topkey stock can be better long-term than a deferred one, because in a Section 368 exchange the exclusion is limited to the gain existing at the exchange date unless Topkey itself qualifies. Counsel should confirm Topkey's QSB status and gross-asset history; it may be the most valuable term Ben can ask for.</w:t>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Section 83 / compensation risk:</w:t>
      </w:r>
      <w:r w:rsidDel="00000000" w:rsidR="00000000" w:rsidRPr="00000000">
        <w:rPr>
          <w:rtl w:val="0"/>
        </w:rPr>
        <w:t xml:space="preserve"> any repurchase right tied to employment, combined with a below-market salary, invites recharacterization of part of the stock as compensation (ordinary income, W-2 withholding, no capital gain, no QSBS). Keep purchase price and employment economics visibly separate.</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Ongoing reporting challenges once Ben is a minority partner</w:t>
      </w:r>
    </w:p>
    <w:tbl>
      <w:tblPr>
        <w:tblStyle w:val="Table10"/>
        <w:tblW w:w="936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Area</w:t>
            </w:r>
          </w:p>
        </w:tc>
        <w:tc>
          <w:tcPr>
            <w:tcBorders>
              <w:top w:color="999999" w:space="0" w:sz="6" w:val="single"/>
              <w:left w:color="999999" w:space="0" w:sz="6" w:val="single"/>
              <w:bottom w:color="999999" w:space="0" w:sz="6" w:val="single"/>
              <w:right w:color="999999" w:space="0" w:sz="6" w:val="single"/>
            </w:tcBorders>
            <w:shd w:fill="e8eef7" w:val="clear"/>
            <w:tcMar>
              <w:top w:w="75.0" w:type="dxa"/>
              <w:left w:w="105.0" w:type="dxa"/>
              <w:bottom w:w="75.0" w:type="dxa"/>
              <w:right w:w="105.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75" w:before="75" w:lineRule="auto"/>
              <w:rPr>
                <w:sz w:val="20"/>
                <w:szCs w:val="20"/>
                <w:shd w:fill="auto" w:val="clear"/>
                <w:vertAlign w:val="baseline"/>
              </w:rPr>
            </w:pPr>
            <w:r w:rsidDel="00000000" w:rsidR="00000000" w:rsidRPr="00000000">
              <w:rPr>
                <w:sz w:val="20"/>
                <w:szCs w:val="20"/>
                <w:shd w:fill="auto" w:val="clear"/>
                <w:vertAlign w:val="baseline"/>
                <w:rtl w:val="0"/>
              </w:rPr>
              <w:t xml:space="preserve">What changes / what to plan for</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Entity returns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Final short-year Form 1120-S for Keystone Inc. (or the holdco reports it as a QSub); new Form 1065 for Keystone LLC with K-1s to Topkey and Ben's holdco every year; state partnership returns and possible composite/withholding filings in every state with nexus.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Section 704(c) and 754</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 contributes low-basis assets; built-in gain is tracked and allocated back to him on any later sale or depreciation. Topkey will want a Section 754 election so it gets a stepped-up basis (Section 743(b)) on its purchased share – this creates two sets of tax books inside Keystone.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Phantom income</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 is taxed on his 30–49% of Keystone's income whether or not distributed. The operating agreement must guarantee quarterly tax distributions at the highest marginal rate, senior to any Topkey cash sweep.</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Topkey's own tax</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(C-corp) picks up its share of Keystone income on its Form 1120 at 21%; if Topkey has NOLs this is efficient, but Topkey still needs its tax distribution to fund it. Intercompany charges (software, banking) between Topkey and a partnership it controls are related-party transactions with Section 482-style pricing exposure.</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GAAP</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Topkey consolidates and reports a noncontrolling interest; Keystone needs a monthly close on Topkey's calendar and chart of accounts; purchase price allocation (ASC 805) with an independent valuation of goodwill/intangibles and of the Topkey stock issued.</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Valuation of Topkey stock</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Required at closing for Form 8594, for Ben's basis and gain, and for any 83(b)/409A analysis. The $60M reference price and the tax FMV will differ; both parties must agree the number used in filings.</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Ben's holdco</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S-corp holdco now holds a partnership interest and Topkey stock; needs its own return, basis tracking in both, and care that the holdco (not Ben personally) is the QSBS holder if the exclusion is pursued – a pass-through can qualify, but the mechanics must be set up correctly.</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Exit</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Put/call exercise on Ben's Keystone interest is a taxable sale of a partnership interest (Section 741, with Section 751 hot-asset ordinary income); if paid in Topkey stock it is again taxable unless structured as a Section 351 with Topkey's other contributors or as part of a broader reorg. Plan the formula and the payment form now.</w:t>
            </w:r>
          </w:p>
        </w:tc>
      </w:tr>
      <w:tr>
        <w:trPr>
          <w:cantSplit w:val="0"/>
          <w:tblHeader w:val="0"/>
        </w:trPr>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Payroll and contractors</w:t>
            </w:r>
          </w:p>
        </w:tc>
        <w:tc>
          <w:tcPr>
            <w:tcBorders>
              <w:top w:color="999999" w:space="0" w:sz="6" w:val="single"/>
              <w:left w:color="999999" w:space="0" w:sz="6" w:val="single"/>
              <w:bottom w:color="999999" w:space="0" w:sz="6" w:val="single"/>
              <w:right w:color="999999" w:space="0" w:sz="6" w:val="single"/>
            </w:tcBorders>
            <w:shd w:fill="auto" w:val="clear"/>
            <w:tcMar>
              <w:top w:w="75.0" w:type="dxa"/>
              <w:left w:w="105.0" w:type="dxa"/>
              <w:bottom w:w="75.0" w:type="dxa"/>
              <w:right w:w="105.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Ben moves from S-corp shareholder-employee wages to partner status in Keystone LLC (guaranteed payments, self-employment tax, no W-2 from Keystone) unless he is employed by Topkey directly – recommend Topkey employs him so he keeps W-2 treatment and benefits. Offshore contractor classification should be resolved before Topkey consolidates the exposure.</w:t>
            </w:r>
          </w:p>
        </w:tc>
      </w:tr>
    </w:tbl>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Suggested Sequencing</w:t>
      </w:r>
    </w:p>
    <w:p w:rsidR="00000000" w:rsidDel="00000000" w:rsidP="00000000" w:rsidRDefault="00000000" w:rsidRPr="00000000" w14:paraId="000001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rtl w:val="0"/>
        </w:rPr>
        <w:t xml:space="preserve">Before LOI goes out: decide Topkey's position on rollover percentage (recommend opening at 70/30, floor 51/49) and revise the LOI to present the partnership as the primary structure, with the 100% acquisition as the alternative.</w:t>
      </w:r>
    </w:p>
    <w:p w:rsidR="00000000" w:rsidDel="00000000" w:rsidP="00000000" w:rsidRDefault="00000000" w:rsidRPr="00000000" w14:paraId="000001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Engage joint tax counsel now (the LOI already contemplates it) with a specific brief: F-reorg, Rev. Rul. 99-6 partial sale, QSBS eligibility of Topkey, and the tax-on-illiquid-stock problem.</w:t>
      </w:r>
    </w:p>
    <w:p w:rsidR="00000000" w:rsidDel="00000000" w:rsidP="00000000" w:rsidRDefault="00000000" w:rsidRPr="00000000" w14:paraId="000001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 the low-cost terms in Section 4 in the same redline – continuity protection, non-compete, exclusivity, approval thresholds, brand, escrow – so Ben sees the whole package move, not just the headline.</w:t>
      </w:r>
    </w:p>
    <w:p w:rsidR="00000000" w:rsidDel="00000000" w:rsidP="00000000" w:rsidRDefault="00000000" w:rsidRPr="00000000" w14:paraId="000001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diligence, validate Ben's actual current compensation (salary + distributions) and the working-capital/deferred-revenue position, since both feed directly into the terms above.</w:t>
      </w:r>
    </w:p>
    <w:p w:rsidR="00000000" w:rsidDel="00000000" w:rsidP="00000000" w:rsidRDefault="00000000" w:rsidRPr="00000000" w14:paraId="000001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 the seller-note and put/call formula into the term sheet as options rather than commitments, so Topkey preserves flexibility on how the remaining 30–49% is eventually bought.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color w:val="555555"/>
          <w:sz w:val="20"/>
          <w:szCs w:val="20"/>
        </w:rPr>
      </w:pPr>
      <w:r w:rsidDel="00000000" w:rsidR="00000000" w:rsidRPr="00000000">
        <w:rPr>
          <w:color w:val="555555"/>
          <w:sz w:val="20"/>
          <w:szCs w:val="20"/>
          <w:rtl w:val="0"/>
        </w:rPr>
        <w:t xml:space="preserve">Prepared by AMB Advisory Services LLC. This report is deal-structuring analysis and does not constitute legal or tax advice; all tax observations should be confirmed by qualified tax counsel and the parties' CPAs.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line="33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90" w:lineRule="auto"/>
    </w:pPr>
    <w:rPr>
      <w:b w:val="1"/>
      <w:bCs w:val="1"/>
      <w:i w:val="0"/>
      <w:iCs w:val="0"/>
      <w:color w:val="1a3c6e"/>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70" w:lineRule="auto"/>
    </w:pPr>
    <w:rPr>
      <w:b w:val="1"/>
      <w:bCs w:val="1"/>
      <w:i w:val="0"/>
      <w:iCs w:val="0"/>
      <w:color w:val="1a3c6e"/>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