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Bookkeepers – Topkey Offer Review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Partnership (70/30) structure, deal-readiness scorecard, earnout recommendation, detailed tax analysis, and remaining fairness items in LOI v10 / Offer v12.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Prepared by AMB Advisory Services LLC for Jon / Topkey  |  September 24, 2026  |  Supersedes the September 23 review (retained in this folder). Documents reviewed: Keystone_LOI_v10.docx, Keystone_Offer_v12.docx, Keystone_Offer_Scenario_Analysis.pdf (buyout + partnership tabs).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90" w:lineRule="auto"/>
        <w:rPr>
          <w:color w:val="555555"/>
          <w:sz w:val="20"/>
          <w:szCs w:val="20"/>
        </w:rPr>
      </w:pPr>
      <w:r w:rsidDel="00000000" w:rsidR="00000000" w:rsidRPr="00000000">
        <w:rPr>
          <w:color w:val="555555"/>
          <w:sz w:val="20"/>
          <w:szCs w:val="20"/>
          <w:rtl w:val="0"/>
        </w:rPr>
        <w:t xml:space="preserve">Confidential – internal working draft. Tax observations are for structuring discussion and must be confirmed by tax counsel; several figures depend on Ben's basis, state of residence and Keystone's accounting method, none of which we have yet.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Where we are.</w:t>
      </w:r>
      <w:r w:rsidDel="00000000" w:rsidR="00000000" w:rsidRPr="00000000">
        <w:rPr>
          <w:rtl w:val="0"/>
        </w:rPr>
        <w:t xml:space="preserve"> The v10/v12 redline adopted most of the low-cost fixes from the first review: $200K base and a better title, 36-month ratable repurchase with good-reason and acceleration protection, $50K escrow, $50K approval threshold with a deadlock clause, board observer seat, exclusive referral partnership, a 3-year non-compete, price protection on any priced round for 36 months, and a single 30-day exclusivity extension. On our scorecard the documents moved from roughly 40% to </w:t>
      </w:r>
      <w:r w:rsidDel="00000000" w:rsidR="00000000" w:rsidRPr="00000000">
        <w:rPr>
          <w:b w:val="1"/>
          <w:bCs w:val="1"/>
          <w:rtl w:val="0"/>
        </w:rPr>
        <w:t xml:space="preserve">~60% of an "ideal" deal</w:t>
      </w:r>
      <w:r w:rsidDel="00000000" w:rsidR="00000000" w:rsidRPr="00000000">
        <w:rPr>
          <w:rtl w:val="0"/>
        </w:rPr>
        <w:t xml:space="preserve">. What has not moved is the part that matters most to Ben: the headline structure is still a 100% sale for 17% cash and 83% Topkey common priced at $60M (above Topkey's own $50M last mark), the tax deferral is still asserted rather than structured, and the partnership option is still a bracketed open item.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the partnership model shows.</w:t>
      </w:r>
      <w:r w:rsidDel="00000000" w:rsidR="00000000" w:rsidRPr="00000000">
        <w:rPr>
          <w:rtl w:val="0"/>
        </w:rPr>
        <w:t xml:space="preserve"> At 70/30 with the same $500K of cash, Ben's Year-5 value rises from $9.0M (buyout) to $10.1M (+35% over standalone), Topkey needs only a 5.9% CAGR for Ben to beat standalone (vs 19%), Ben can absorb a 56% decline in Topkey's value, and Topkey still earns a 3.8x MOIC / 33.5% IRR on its stake while issuing $900K less stock. This is the structure to lead with. Section 4 lays out the pros and cons for each side; Section 3 flags three modeling inconsistencies to fix before the numbers go in front of Ben.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90" w:lineRule="auto"/>
        <w:rPr/>
      </w:pPr>
      <w:r w:rsidDel="00000000" w:rsidR="00000000" w:rsidRPr="00000000">
        <w:rPr>
          <w:b w:val="1"/>
          <w:bCs w:val="1"/>
          <w:rtl w:val="0"/>
        </w:rPr>
        <w:t xml:space="preserve">The two things that will decide whether it closes.</w:t>
      </w:r>
      <w:r w:rsidDel="00000000" w:rsidR="00000000" w:rsidRPr="00000000">
        <w:rPr>
          <w:rtl w:val="0"/>
        </w:rPr>
        <w:t xml:space="preserve"> First, </w:t>
      </w:r>
      <w:r w:rsidDel="00000000" w:rsidR="00000000" w:rsidRPr="00000000">
        <w:rPr>
          <w:b w:val="1"/>
          <w:bCs w:val="1"/>
          <w:rtl w:val="0"/>
        </w:rPr>
        <w:t xml:space="preserve">taxes</w:t>
      </w:r>
      <w:r w:rsidDel="00000000" w:rsidR="00000000" w:rsidRPr="00000000">
        <w:rPr>
          <w:rtl w:val="0"/>
        </w:rPr>
        <w:t xml:space="preserve">: in the partnership structure the Topkey stock Ben receives for the 70% is taxable at closing. On our assumptions that is a federal bill of roughly </w:t>
      </w:r>
      <w:r w:rsidDel="00000000" w:rsidR="00000000" w:rsidRPr="00000000">
        <w:rPr>
          <w:b w:val="1"/>
          <w:bCs w:val="1"/>
          <w:rtl w:val="0"/>
        </w:rPr>
        <w:t xml:space="preserve">$450K against $450K of net cash</w:t>
      </w:r>
      <w:r w:rsidDel="00000000" w:rsidR="00000000" w:rsidRPr="00000000">
        <w:rPr>
          <w:rtl w:val="0"/>
        </w:rPr>
        <w:t xml:space="preserve"> – Ben nets nothing at close, and any state tax puts him negative. Section 7 shows how to solve this without Topkey borrowing: move the effective date to January 2, 2027 (pushes the tax due date out ~15 months), lift cash to $700K if the balance sheet allows, tie the taxable value of the stock to a 409A appraisal, replace the earnout with a tax-timed deferred payment funded from Keystone's own distributions, and pursue QSBS status on the Topkey shares, which could eliminate most of Ben's Year-5 tax. Second, </w:t>
      </w:r>
      <w:r w:rsidDel="00000000" w:rsidR="00000000" w:rsidRPr="00000000">
        <w:rPr>
          <w:b w:val="1"/>
          <w:bCs w:val="1"/>
          <w:rtl w:val="0"/>
        </w:rPr>
        <w:t xml:space="preserve">the earnout</w:t>
      </w:r>
      <w:r w:rsidDel="00000000" w:rsidR="00000000" w:rsidRPr="00000000">
        <w:rPr>
          <w:rtl w:val="0"/>
        </w:rPr>
        <w:t xml:space="preserve">: we recommend dropping it in the partnership structure (Ben's 30% already pays him for growth, and Topkey would be paying 100% of an earnout for a 70% stake) and redirecting those dollars to the tax-timing problem. Section 6 explains; Section 8 lists what remains unfair in v10/v12 and whether to fix it in the LOI or hold it for the purchase agreement.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 Changed From v8/v10 to v10/v12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2808"/>
        <w:gridCol w:w="2808"/>
        <w:gridCol w:w="1497.6"/>
        <w:tblGridChange w:id="0">
          <w:tblGrid>
            <w:gridCol w:w="2246.3999999999996"/>
            <w:gridCol w:w="2808"/>
            <w:gridCol w:w="2808"/>
            <w:gridCol w:w="1497.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Term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Was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Now</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Status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Base salary / bonus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$150K + $50K growth + $50K retention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$200K + up to $50K budget/KPI bonus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 (bonus design still binary – see §8)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Title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Accounting Director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Head of Accounting Services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Continuity protection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 yrs, "declining portion", FMV undefined, no carve-outs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36 mo ratable, independent appraiser at Topkey's cost, good-reason (role/brand/tools), full acceleration on death/disability/without-cause/CoC</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Price protection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Only a ≥$3M round within 24 mo</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Any priced round within 36 mo; lowest price governs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 (floor and Topkey-sale treatment still 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Board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Non-voting observer with materials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Approval thresholds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$10K software, $80K comp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$50K any commitment; budgeted hires free; deadlock &amp; escalation clause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 (pricing &gt;5% still tight)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Referral channel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Open item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Exclusive partner; third-party referrals wound down in 12 mo</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Non-compete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 yrs or 2 yrs post-employment, later of</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 yrs or 12 mo post-employment, capped at 5; passive/CPA carve-outs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Escrow</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$[X]</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 of cash ($50K); survival still [X]</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Partly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Exclusivity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 days, perpetual 30-day auto-renewals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 days + one 30-day extension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Reference valuation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$60M vs $50M last SAFE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Unchanged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Security class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Common at preferred-implied price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Unchanged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Liquidity (put / secondary / registration)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structure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Deferral asserted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Unchanged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 rollover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Bracketed open item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Bracketed open item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Open – the central decision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Not in docs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 model ($500K Y3), not in docs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Decide (see §6)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Brand / banking migration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Bracketed rebrand; banking moves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Unchanged – now inconsistent with "good reason" definition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Open</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3. Review of the Updated Scenario Analysis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3.1 100% buyout tab</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Headline:</w:t>
      </w:r>
      <w:r w:rsidDel="00000000" w:rsidR="00000000" w:rsidRPr="00000000">
        <w:rPr>
          <w:rFonts w:ascii="Arial Unicode MS" w:cs="Arial Unicode MS" w:eastAsia="Arial Unicode MS" w:hAnsi="Arial Unicode MS"/>
          <w:rtl w:val="0"/>
        </w:rPr>
        <w:t xml:space="preserve"> Ben's Year-5 value $9.0M vs $7.49M standalone (+20%, +$1.5M); break-even Topkey CAGR 19% vs 24.7% estimated; Topkey 6.0x MOIC / 46% IRR. Downside: 12x multiple = −$1.2M vs standalone; all four downsides combined = −$3.2M. Liquidity: 89% of Ben's Year-5 value illiquid.</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Assumption changes since v1 that flatter the deal:</w:t>
      </w:r>
      <w:r w:rsidDel="00000000" w:rsidR="00000000" w:rsidRPr="00000000">
        <w:rPr>
          <w:rFonts w:ascii="Arial Unicode MS" w:cs="Arial Unicode MS" w:eastAsia="Arial Unicode MS" w:hAnsi="Arial Unicode MS"/>
          <w:rtl w:val="0"/>
        </w:rPr>
        <w:t xml:space="preserve"> Topkey net client wins moved from 120 to 130/yr (CAGR 23.4% → 24.7%), Topkey ex-Keystone Year 5 from $170M to $179M, and a $500K Year-3 earnout was added. Roughly $800K of the $1.5M "increase in proceeds" comes from these changes rather than from anything Ben can verify. Expect Ben's advisor to ask what changed and why; be ready with the basis for 130.</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Partnership margin:</w:t>
      </w:r>
      <w:r w:rsidDel="00000000" w:rsidR="00000000" w:rsidRPr="00000000">
        <w:rPr>
          <w:rtl w:val="0"/>
        </w:rPr>
        <w:t xml:space="preserve"> 20% steady-state (v1 used 25%). Defensible; keep it, but document the driver (VR Platform cost removal, Topkey engineering).</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Earnout target</w:t>
      </w:r>
      <w:r w:rsidDel="00000000" w:rsidR="00000000" w:rsidRPr="00000000">
        <w:rPr>
          <w:rtl w:val="0"/>
        </w:rPr>
        <w:t xml:space="preserve"> of $5.33M Year-3 run-rate implies ~21% CAGR – exactly the plan. With an 80% threshold paying 50% and a 150% cap, the model's 70% probability is reasonable, but the earnout adds cash Topkey does not have (see §6).</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Partnership (30% rollover) tab</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Headline:</w:t>
      </w:r>
      <w:r w:rsidDel="00000000" w:rsidR="00000000" w:rsidRPr="00000000">
        <w:rPr>
          <w:rFonts w:ascii="Arial Unicode MS" w:cs="Arial Unicode MS" w:eastAsia="Arial Unicode MS" w:hAnsi="Arial Unicode MS"/>
          <w:rtl w:val="0"/>
        </w:rPr>
        <w:t xml:space="preserve"> Ben $10.1M (+35%, +$2.6M); Ben's MOIC 3.37x / IRR 31.9%; required Topkey CAGR only 5.9%; Ben can absorb a 56% Topkey value decline; all four downsides combined = $6.3M (only −$1.2M vs standalone, vs −$3.2M in the buyout). Topkey 3.8x MOIC / 33.5% IRR on $2.6M of consideration for a 70% stake worth $9.8M at Year 5.</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Inconsistency to fix:</w:t>
      </w:r>
      <w:r w:rsidDel="00000000" w:rsidR="00000000" w:rsidRPr="00000000">
        <w:rPr>
          <w:rtl w:val="0"/>
        </w:rPr>
        <w:t xml:space="preserve"> the buyout tab values Keystone at a 3.0x software-integration multiple; the partnership tab uses 2.0x. The same integration should produce the same multiple. At 3.0x the partnership case gives Ben ~$12.3M (not $10.1M); at 2.0x the buyout case gives Ben ~$8.7M (not $9.0M). Pick one – we suggest 2.0x for both as the base and 3.0x as upside – or Ben's advisor will assume the lower number was chosen to shrink the partnership advantage.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Earnout double-counts in the partnership case.</w:t>
      </w:r>
      <w:r w:rsidDel="00000000" w:rsidR="00000000" w:rsidRPr="00000000">
        <w:rPr>
          <w:rtl w:val="0"/>
        </w:rPr>
        <w:t xml:space="preserve"> Ben's 30% already captures Year-3 growth; the earnout pays him again for the same revenue, and Topkey funds 100% of it while owning 70%.</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dilution in either base case.</w:t>
      </w:r>
      <w:r w:rsidDel="00000000" w:rsidR="00000000" w:rsidRPr="00000000">
        <w:rPr>
          <w:rtl w:val="0"/>
        </w:rPr>
        <w:t xml:space="preserve"> A company growing 25% a year on $8M raised will raise again; base cases should carry 10–15% dilution (price protection covers down-rounds only, not up-round dilution).</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Neither tab is after-tax.</w:t>
      </w:r>
      <w:r w:rsidDel="00000000" w:rsidR="00000000" w:rsidRPr="00000000">
        <w:rPr>
          <w:rtl w:val="0"/>
        </w:rPr>
        <w:t xml:space="preserve"> Section 7 adds that view; it changes the ordering less than expected but changes the cash-at-close picture dramatically.</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4. The Partnership Scenario – Pros and Cons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For Jon / Topkey</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Pros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Cons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Issues $1.6M of stock instead of $2.5M (2.6% vs 4.0% dilution) for the same $500K cash.</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Consolidates 100% of Keystone revenue and EBITDA (ASC 810) – the combined-company story to investors is intact.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Ben stays economically motivated for the long term without a large earnout or aggressive vesting; the retention problem largely solves itself.</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Far easier to sell to Ben: 5.9% required Topkey CAGR and 56% cushion are numbers a seller's advisor cannot argue with.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Topkey's return on its 70% is still 3.8x / 33.5% IRR.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Taxable structure gives Topkey a basis step-up on 70% of Keystone's goodwill – roughly $140K/yr of Section 197 amortization deductions for 15 years.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Shares Keystone execution risk: if the integration disappoints, Ben carries 30% of 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Gives up 30% of Keystone's Year-5 value ($4.2M at 2.0x; $6.3M at 3.0x) against a $0.9M stock saving worth ~$2.8M at Year 5 – net give-up ~$1.4–3.5M depending on multiple.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 30% partner gets reserved matters: rebrand, tool migration, intercompany pricing, distributions and new equity all need Ben's consent or arm's-length protocols. Integration is slower and more negotiated.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Topkey must eventually buy the 30% – a future cash or stock obligation (put/call, years 3–5). This is where "Topkey has to raise money to fund it" can re-enter through the back door; design the put to be payable in Topkey stock or from Keystone cash.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Partnership tax complexity for Topkey: Form 1065, K-1s, Section 754/743(b) books, mandatory tax distributions to Ben, related-party pricing scrutiny on Topkey software and banking fees charged to Keystone.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Non-controlling interest on Topkey's balance sheet; some investors will ask why not 100%.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Ben's Topkey stock is taxable at close – which is really Ben's problem, but it becomes Topkey's problem if it kills the deal (§7).</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For Ben</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Pros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Cons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Keeps 30% of the company he built; $4.2M of direct Year-5 value that does not depend on Topkey's multiple.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Total Year-5 value $10.1M vs $9.0M (buyout) and $7.5M (standalone); downside floor much higher (−$1.2M vs −$3.2M in the worst case).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Needs Topkey to grow only 5.9%/yr to come out ahead; can absorb a 56% fall in Topkey's value.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Reserved matters and tax distributions give him real minority protection rather than "Ben keeps control of" language.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 defined put/call gives him a liquidity path for the 30% that the buyout never offers for Topkey stock.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Retained 30% is not taxed at all until he sells 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w:t>
            </w:r>
            <w:r w:rsidDel="00000000" w:rsidR="00000000" w:rsidRPr="00000000">
              <w:rPr>
                <w:b w:val="1"/>
                <w:bCs w:val="1"/>
                <w:sz w:val="20"/>
                <w:szCs w:val="20"/>
                <w:vertAlign w:val="baseline"/>
                <w:rtl w:val="0"/>
              </w:rPr>
              <w:t xml:space="preserve">Tax on the Topkey stock at closing (~$450K federal on our assumptions) consumes essentially all of the $450K net cash</w:t>
            </w:r>
            <w:r w:rsidDel="00000000" w:rsidR="00000000" w:rsidRPr="00000000">
              <w:rPr>
                <w:sz w:val="20"/>
                <w:szCs w:val="20"/>
                <w:vertAlign w:val="baseline"/>
                <w:rtl w:val="0"/>
              </w:rPr>
              <w:t xml:space="preserve">; any state tax puts him out of pocket.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Becomes a minority partner in his own business; Topkey controls budget, board and strategy.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Still receives Topkey common at a $60M reference price with a $40M floor – every issue from the first review on the Topkey equity remains.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Phantom income: taxed on 30% of Keystone's income whether or not distributed (mandatory tax distributions are the fix).</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90% of Year-5 value still illiquid (Keystone 30% + Topkey stock).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Two sets of books, two K-1s, a holdco S-corp return – more complexity for a man who does accounting for a living and will know exactly how much.</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Deal-Readiness Scorecard – How Close Are We to "Ideal"?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Rule="auto"/>
        <w:rPr>
          <w:color w:val="555555"/>
          <w:sz w:val="20"/>
          <w:szCs w:val="20"/>
        </w:rPr>
      </w:pPr>
      <w:r w:rsidDel="00000000" w:rsidR="00000000" w:rsidRPr="00000000">
        <w:pict>
          <v:rect style="width:0.0pt;height:1.5pt" o:hr="t" o:hrstd="t" o:hralign="center" fillcolor="#A0A0A0" stroked="f"/>
        </w:pict>
      </w:r>
      <w:r w:rsidDel="00000000" w:rsidR="00000000" w:rsidRPr="00000000">
        <w:rPr>
          <w:color w:val="555555"/>
          <w:sz w:val="20"/>
          <w:szCs w:val="20"/>
          <w:rtl w:val="0"/>
        </w:rPr>
        <w:t xml:space="preserve">Score = how far the term is from a deal both sides would sign without retrading. "Current" scores LOI v10 / Offer v12 as drafted. "With §8 fixes" assumes the partnership structure plus the recommended changes.</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2433.6000000000004"/>
        <w:gridCol w:w="2433.6000000000004"/>
        <w:gridCol w:w="2433.6000000000004"/>
        <w:tblGridChange w:id="0">
          <w:tblGrid>
            <w:gridCol w:w="2059.2"/>
            <w:gridCol w:w="2433.6000000000004"/>
            <w:gridCol w:w="2433.6000000000004"/>
            <w:gridCol w:w="2433.6000000000004"/>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Area</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Current</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With §8 fixes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What moves the bar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Headline economics &amp; structure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62828"/>
                <w:sz w:val="20"/>
                <w:szCs w:val="20"/>
                <w:vertAlign w:val="baseline"/>
                <w:rtl w:val="0"/>
              </w:rPr>
              <w:t xml:space="preserve">████░░░░░░</w:t>
            </w:r>
            <w:r w:rsidDel="00000000" w:rsidR="00000000" w:rsidRPr="00000000">
              <w:rPr>
                <w:sz w:val="20"/>
                <w:szCs w:val="20"/>
                <w:vertAlign w:val="baseline"/>
                <w:rtl w:val="0"/>
              </w:rPr>
              <w:t xml:space="preserve"> 40%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presented as primary structure; multiple consistency; earnout decision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 &amp; liquidity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62828"/>
                <w:sz w:val="20"/>
                <w:szCs w:val="20"/>
                <w:vertAlign w:val="baseline"/>
                <w:rtl w:val="0"/>
              </w:rPr>
              <w:t xml:space="preserve">███▌░░░░░░</w:t>
            </w:r>
            <w:r w:rsidDel="00000000" w:rsidR="00000000" w:rsidRPr="00000000">
              <w:rPr>
                <w:sz w:val="20"/>
                <w:szCs w:val="20"/>
                <w:vertAlign w:val="baseline"/>
                <w:rtl w:val="0"/>
              </w:rPr>
              <w:t xml:space="preserve"> 35%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$700K cash; Jan-2 close; tax-timed deferred payment; put on Keystone 30%; secondary participation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equity terms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77700"/>
                <w:sz w:val="20"/>
                <w:szCs w:val="20"/>
                <w:vertAlign w:val="baseline"/>
                <w:rtl w:val="0"/>
              </w:rPr>
              <w:t xml:space="preserve">██████░░░░</w:t>
            </w:r>
            <w:r w:rsidDel="00000000" w:rsidR="00000000" w:rsidRPr="00000000">
              <w:rPr>
                <w:sz w:val="20"/>
                <w:szCs w:val="20"/>
                <w:vertAlign w:val="baseline"/>
                <w:rtl w:val="0"/>
              </w:rPr>
              <w:t xml:space="preserve"> 60%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$50M reference; class parity with SAFE conversion; $45–50M floor; Topkey-sale treatment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Continuity / repurchase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Drop "unvested" wording (Section 83 risk); keep FMV repurchase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Role &amp; compensation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Sliding-scale bonus; option grant; 5-yr term vs 36-mo repurchase alignment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Governance &amp; operating control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Pricing threshold 10%; minority reserved matters for the 30%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Brand, tools &amp; integration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77700"/>
                <w:sz w:val="20"/>
                <w:szCs w:val="20"/>
                <w:vertAlign w:val="baseline"/>
                <w:rtl w:val="0"/>
              </w:rPr>
              <w:t xml:space="preserve">█████▌░░░░</w:t>
            </w:r>
            <w:r w:rsidDel="00000000" w:rsidR="00000000" w:rsidRPr="00000000">
              <w:rPr>
                <w:sz w:val="20"/>
                <w:szCs w:val="20"/>
                <w:vertAlign w:val="baseline"/>
                <w:rtl w:val="0"/>
              </w:rPr>
              <w:t xml:space="preserve"> 55%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a Topkey company" 24 mo; readiness sign-off before migrations; resolve conflict with good-reason clause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Restrictive covenants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Confirm enforceability in Ben's state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Risk allocation (escrow, indemnity, WC peg)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77700"/>
                <w:sz w:val="20"/>
                <w:szCs w:val="20"/>
                <w:vertAlign w:val="baseline"/>
                <w:rtl w:val="0"/>
              </w:rPr>
              <w:t xml:space="preserve">██████▌░░░</w:t>
            </w:r>
            <w:r w:rsidDel="00000000" w:rsidR="00000000" w:rsidRPr="00000000">
              <w:rPr>
                <w:sz w:val="20"/>
                <w:szCs w:val="20"/>
                <w:vertAlign w:val="baseline"/>
                <w:rtl w:val="0"/>
              </w:rPr>
              <w:t xml:space="preserve"> 65%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Cap 10% of price; 0.75% basket; 15-mo survival; set-off against stock not cash; deferred-revenue treatment in peg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Process (exclusivity, timeline)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Jan 2 effective date; diligence milestones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structure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62828"/>
                <w:sz w:val="20"/>
                <w:szCs w:val="20"/>
                <w:vertAlign w:val="baseline"/>
                <w:rtl w:val="0"/>
              </w:rPr>
              <w:t xml:space="preserve">██▌░░░░░░░</w:t>
            </w:r>
            <w:r w:rsidDel="00000000" w:rsidR="00000000" w:rsidRPr="00000000">
              <w:rPr>
                <w:sz w:val="20"/>
                <w:szCs w:val="20"/>
                <w:vertAlign w:val="baseline"/>
                <w:rtl w:val="0"/>
              </w:rPr>
              <w:t xml:space="preserve"> 25%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Named structure; counsel engaged; 409A valuation; QSBS analysis; gross-up trigger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 rollover mechanics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c62828"/>
                <w:sz w:val="20"/>
                <w:szCs w:val="20"/>
                <w:vertAlign w:val="baseline"/>
                <w:rtl w:val="0"/>
              </w:rPr>
              <w:t xml:space="preserve">█░░░░░░░░░</w:t>
            </w:r>
            <w:r w:rsidDel="00000000" w:rsidR="00000000" w:rsidRPr="00000000">
              <w:rPr>
                <w:sz w:val="20"/>
                <w:szCs w:val="20"/>
                <w:vertAlign w:val="baseline"/>
                <w:rtl w:val="0"/>
              </w:rPr>
              <w:t xml:space="preserve"> 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w:cs="Arial" w:eastAsia="Arial" w:hAnsi="Arial"/>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Operating agreement term sheet: reserved matters, tax distributions, put/call formula, ROFR/tag/drag</w:t>
            </w:r>
          </w:p>
        </w:tc>
      </w:tr>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Overall</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rFonts w:ascii="Arial" w:cs="Arial" w:eastAsia="Arial" w:hAnsi="Arial"/>
                <w:color w:val="c77700"/>
                <w:sz w:val="20"/>
                <w:szCs w:val="20"/>
                <w:shd w:fill="auto" w:val="clear"/>
                <w:vertAlign w:val="baseline"/>
                <w:rtl w:val="0"/>
              </w:rPr>
              <w:t xml:space="preserve">██████░░░░</w:t>
            </w:r>
            <w:r w:rsidDel="00000000" w:rsidR="00000000" w:rsidRPr="00000000">
              <w:rPr>
                <w:sz w:val="20"/>
                <w:szCs w:val="20"/>
                <w:shd w:fill="auto" w:val="clear"/>
                <w:vertAlign w:val="baseline"/>
                <w:rtl w:val="0"/>
              </w:rPr>
              <w:t xml:space="preserve"> ~60%</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rFonts w:ascii="Arial" w:cs="Arial" w:eastAsia="Arial" w:hAnsi="Arial"/>
                <w:color w:val="2e7d32"/>
                <w:sz w:val="20"/>
                <w:szCs w:val="20"/>
                <w:shd w:fill="auto" w:val="clear"/>
                <w:vertAlign w:val="baseline"/>
                <w:rtl w:val="0"/>
              </w:rPr>
              <w:t xml:space="preserve">████████▌░</w:t>
            </w:r>
            <w:r w:rsidDel="00000000" w:rsidR="00000000" w:rsidRPr="00000000">
              <w:rPr>
                <w:sz w:val="20"/>
                <w:szCs w:val="20"/>
                <w:shd w:fill="auto" w:val="clear"/>
                <w:vertAlign w:val="baseline"/>
                <w:rtl w:val="0"/>
              </w:rPr>
              <w:t xml:space="preserve"> ~87%</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The remaining 13% is definitive-agreement drafting and diligence findings</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Earnout – Exclude It, or Size It So It Funds Itself</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Recommendation: exclude the cash earnout in the partnership structure.</w:t>
      </w:r>
      <w:r w:rsidDel="00000000" w:rsidR="00000000" w:rsidRPr="00000000">
        <w:rPr>
          <w:rtl w:val="0"/>
        </w:rPr>
        <w:t xml:space="preserve"> Three reasons. Ben's 30% already pays him for Year-3 growth, so the earnout rewards the same revenue twice. Topkey would fund 100% of a $500–750K payment for a 70% stake. And a Year-3 payment does nothing for Ben's actual problem, which is a tax bill due in 2027 or 2028. Without the earnout, Ben's partnership case is still $9.6M (+28% over standalone) – comfortably the best structure on the table.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If Jon wants a growth kicker anyway, make it self-funding by construction.</w:t>
      </w:r>
      <w:r w:rsidDel="00000000" w:rsidR="00000000" w:rsidRPr="00000000">
        <w:rPr>
          <w:rtl w:val="0"/>
        </w:rPr>
        <w:t xml:space="preserve"> Keystone's own cash flow is the funding source Topkey does have. At the Year-3 target ($5.3M revenue, 20% margin) Keystone generates ~$1.07M of EBITDA; after ~30% tax distributions, ~$750K is distributable, of which Topkey's 70% share is ~$520K. So an earnout of up to </w:t>
      </w:r>
      <w:r w:rsidDel="00000000" w:rsidR="00000000" w:rsidRPr="00000000">
        <w:rPr>
          <w:b w:val="1"/>
          <w:bCs w:val="1"/>
          <w:rtl w:val="0"/>
        </w:rPr>
        <w:t xml:space="preserve">$500K target / $600K cap is fully payable from Topkey's share of Keystone distributions in the year it is earned</w:t>
      </w:r>
      <w:r w:rsidDel="00000000" w:rsidR="00000000" w:rsidRPr="00000000">
        <w:rPr>
          <w:rtl w:val="0"/>
        </w:rPr>
        <w:t xml:space="preserve"> – and it is earned only in the year Keystone throws off the cash. Draft it as: "payable solely from Topkey's share of Keystone distributable cash for the measurement year, in up to two installments, with any shortfall payable at Ben's election in Topkey shares at the then-current price or carried to the following year." No borrowing, no raise.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 the 100% buyout,</w:t>
      </w:r>
      <w:r w:rsidDel="00000000" w:rsidR="00000000" w:rsidRPr="00000000">
        <w:rPr>
          <w:rtl w:val="0"/>
        </w:rPr>
        <w:t xml:space="preserve"> the earnout is doing real work (it lifts the effective multiple to 1.2x and moves Ben's delta from +$1.0M to +$1.5M). If Jon stays with the buyout, keep it, cap it at $600K, and use the same self-funding language; Topkey owns 100% of Keystone's cash flow in that case, so capacity is ~$750K.</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90" w:lineRule="auto"/>
        <w:rPr/>
      </w:pPr>
      <w:r w:rsidDel="00000000" w:rsidR="00000000" w:rsidRPr="00000000">
        <w:rPr>
          <w:b w:val="1"/>
          <w:bCs w:val="1"/>
          <w:rtl w:val="0"/>
        </w:rPr>
        <w:t xml:space="preserve">Better use of the same dollars in the partnership case:</w:t>
      </w:r>
      <w:r w:rsidDel="00000000" w:rsidR="00000000" w:rsidRPr="00000000">
        <w:rPr>
          <w:rtl w:val="0"/>
        </w:rPr>
        <w:t xml:space="preserve"> a </w:t>
      </w:r>
      <w:r w:rsidDel="00000000" w:rsidR="00000000" w:rsidRPr="00000000">
        <w:rPr>
          <w:b w:val="1"/>
          <w:bCs w:val="1"/>
          <w:rtl w:val="0"/>
        </w:rPr>
        <w:t xml:space="preserve">tax-timed deferred purchase price</w:t>
      </w:r>
      <w:r w:rsidDel="00000000" w:rsidR="00000000" w:rsidRPr="00000000">
        <w:rPr>
          <w:rtl w:val="0"/>
        </w:rPr>
        <w:t xml:space="preserve"> of $200–250K, payable April 1 of the year Ben's closing-year tax is due, funded from Topkey's share of Keystone's first-year distributions (~$320K on a conservative 17% Year-1 margin). Unlike an earnout it is certain, so Ben's advisor values it at face; unlike cash at close, it does not have to be on Topkey's balance sheet today; and under the installment rules Ben is not taxed on it until he receives it. See §7.4.</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Ben's Taxes – Buyout vs Partnership, at Closing and at Exit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90" w:before="120" w:lineRule="auto"/>
        <w:ind w:left="180" w:right="180" w:firstLine="0"/>
        <w:rPr>
          <w:shd w:fill="fff3cd" w:val="clear"/>
        </w:rPr>
      </w:pPr>
      <w:r w:rsidDel="00000000" w:rsidR="00000000" w:rsidRPr="00000000">
        <w:pict>
          <v:rect style="width:0.0pt;height:1.5pt" o:hr="t" o:hrstd="t" o:hralign="center" fillcolor="#A0A0A0" stroked="f"/>
        </w:pict>
      </w:r>
      <w:r w:rsidDel="00000000" w:rsidR="00000000" w:rsidRPr="00000000">
        <w:rPr>
          <w:b w:val="1"/>
          <w:bCs w:val="1"/>
          <w:shd w:fill="fff3cd" w:val="clear"/>
          <w:rtl w:val="0"/>
        </w:rPr>
        <w:t xml:space="preserve">Assumptions used throughout (all need confirming in diligence):</w:t>
      </w:r>
      <w:r w:rsidDel="00000000" w:rsidR="00000000" w:rsidRPr="00000000">
        <w:rPr>
          <w:shd w:fill="fff3cd" w:val="clear"/>
          <w:rtl w:val="0"/>
        </w:rPr>
        <w:t xml:space="preserve"> Ben's tax basis in Keystone is near zero (typical for a bootstrapped S corp after years of distributions); Keystone is a cash-basis S corporation with ~$150K of receivables/recapture that will be ordinary income on an asset-type sale; Ben materially participates, so the 3.8% net investment income tax does not apply to gain on the sale of Keystone's business (IRC §1411(c)(4)) but does apply to a later sale of Topkey stock; 2026 federal rates – 20% long-term capital gain, 37% ordinary; no state income tax (if Ben lives in a state with an income tax, add 4–10% to every figure below; a 5% state adds ~$105K to the partnership closing bill). The $50K escrow reduces cash in hand but is still taxed when the sale closes. Topkey is assumed to be a Delaware C corporation.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Why the structures behave differently</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 buyout, tax-deferred (the LOI's stated intent):</w:t>
      </w:r>
      <w:r w:rsidDel="00000000" w:rsidR="00000000" w:rsidRPr="00000000">
        <w:rPr>
          <w:rFonts w:ascii="Arial Unicode MS" w:cs="Arial Unicode MS" w:eastAsia="Arial Unicode MS" w:hAnsi="Arial Unicode MS"/>
          <w:rtl w:val="0"/>
        </w:rPr>
        <w:t xml:space="preserve"> works only as a Section 368 reorganization – in practice a reverse triangular merger (Topkey sub merges into Keystone; requires ≥80% of consideration in Topkey </w:t>
      </w:r>
      <w:r w:rsidDel="00000000" w:rsidR="00000000" w:rsidRPr="00000000">
        <w:rPr>
          <w:i w:val="1"/>
          <w:iCs w:val="1"/>
          <w:rtl w:val="0"/>
        </w:rPr>
        <w:t xml:space="preserve">voting</w:t>
      </w:r>
      <w:r w:rsidDel="00000000" w:rsidR="00000000" w:rsidRPr="00000000">
        <w:rPr>
          <w:rtl w:val="0"/>
        </w:rPr>
        <w:t xml:space="preserve"> stock – 83% qualifies, but only if the shares are voting) or a forward triangular merger (needs only ~40% stock continuity). Section 351 is unavailable because Ben will not control 80% of Topkey. In a reorganization the $500K cash is "boot": Ben recognizes gain up to $500K and defers the rest; his basis in the Topkey shares equals his old Keystone basis (~$0) – so the deferred gain sits inside the Topkey shares until he sells them.</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 buyout, taxable (if the reorganization fails or the parties choose it):</w:t>
      </w:r>
      <w:r w:rsidDel="00000000" w:rsidR="00000000" w:rsidRPr="00000000">
        <w:rPr>
          <w:rtl w:val="0"/>
        </w:rPr>
        <w:t xml:space="preserve"> Ben is taxed on the full $3.0M at closing, but takes a $2.5M basis in the Topkey shares and, potentially, a fresh QSBS clock.</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Partnership 70/30:</w:t>
      </w:r>
      <w:r w:rsidDel="00000000" w:rsidR="00000000" w:rsidRPr="00000000">
        <w:rPr>
          <w:rtl w:val="0"/>
        </w:rPr>
        <w:t xml:space="preserve"> Topkey cannot own S-corp stock, so Keystone must first complete the F-reorganization (new S-corp holdco, QSub election, convert operating company to an LLC). Holdco then sells 70% of the LLC to Topkey. Under Rev. Rul. 99-5 that is treated as Ben's holdco selling an undivided 70% of every Keystone asset for $2.1M ($500K cash + $1.6M Topkey stock), with both parties then contributing to a new tax partnership. </w:t>
      </w:r>
      <w:r w:rsidDel="00000000" w:rsidR="00000000" w:rsidRPr="00000000">
        <w:rPr>
          <w:b w:val="1"/>
          <w:bCs w:val="1"/>
          <w:rtl w:val="0"/>
        </w:rPr>
        <w:t xml:space="preserve">There is no reorganization to defer the stock portion</w:t>
      </w:r>
      <w:r w:rsidDel="00000000" w:rsidR="00000000" w:rsidRPr="00000000">
        <w:rPr>
          <w:rtl w:val="0"/>
        </w:rPr>
        <w:t xml:space="preserve"> – a partial acquisition is not a 368 reorganization and Ben has no 351 control – so the Topkey stock is taxable at its fair market value on the closing date. The 30% Ben keeps is not taxed.</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Tax at closing – the number that decides whether Ben can sign</w:t>
      </w:r>
    </w:p>
    <w:tbl>
      <w:tblPr>
        <w:tblStyle w:val="Table5"/>
        <w:tblW w:w="9360.000000000002"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1778.4"/>
        <w:gridCol w:w="1778.4"/>
        <w:gridCol w:w="1778.4"/>
        <w:gridCol w:w="1778.4"/>
        <w:tblGridChange w:id="0">
          <w:tblGrid>
            <w:gridCol w:w="2246.3999999999996"/>
            <w:gridCol w:w="1778.4"/>
            <w:gridCol w:w="1778.4"/>
            <w:gridCol w:w="1778.4"/>
            <w:gridCol w:w="1778.4"/>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Structure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Taxable amount</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Federal tax at close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Cash in hand after $50K escrow</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Net cash after tax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deferred (368 works)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$500K boot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~$350K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taxable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$3.0M ($500K cash + $2.5M stock)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~$630K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rFonts w:ascii="Arial Unicode MS" w:cs="Arial Unicode MS" w:eastAsia="Arial Unicode MS" w:hAnsi="Arial Unicode MS"/>
                <w:color w:val="c62828"/>
                <w:sz w:val="20"/>
                <w:szCs w:val="20"/>
                <w:vertAlign w:val="baseline"/>
                <w:rtl w:val="0"/>
              </w:rPr>
              <w:t xml:space="preserve">~ −$180K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taxable, stock valued at 409A common FMV (~50% of reference)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$1.75M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~$380K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~$70K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Partnership 70/30 – $500K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$2.1M ($500K cash + $1.6M stock)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75" w:before="75" w:lineRule="auto"/>
              <w:rPr>
                <w:b w:val="1"/>
                <w:bCs w:val="1"/>
                <w:color w:val="c62828"/>
                <w:sz w:val="20"/>
                <w:szCs w:val="20"/>
                <w:vertAlign w:val="baseline"/>
              </w:rPr>
            </w:pPr>
            <w:r w:rsidDel="00000000" w:rsidR="00000000" w:rsidRPr="00000000">
              <w:rPr>
                <w:b w:val="1"/>
                <w:bCs w:val="1"/>
                <w:color w:val="c62828"/>
                <w:sz w:val="20"/>
                <w:szCs w:val="20"/>
                <w:vertAlign w:val="baseline"/>
                <w:rtl w:val="0"/>
              </w:rPr>
              <w:t xml:space="preserve">~$0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70/30 – $700K cash, $1.4M stock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$630K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~$180K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70/30 – $700K cash, stock at 409A FMV (~$700K)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$630K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~$330K</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70" w:before="210" w:lineRule="auto"/>
        <w:rPr/>
      </w:pPr>
      <w:r w:rsidDel="00000000" w:rsidR="00000000" w:rsidRPr="00000000">
        <w:rPr>
          <w:rtl w:val="0"/>
        </w:rPr>
        <w:t xml:space="preserve">Two things stand out. In the partnership structure as modeled, </w:t>
      </w:r>
      <w:r w:rsidDel="00000000" w:rsidR="00000000" w:rsidRPr="00000000">
        <w:rPr>
          <w:b w:val="1"/>
          <w:bCs w:val="1"/>
          <w:rtl w:val="0"/>
        </w:rPr>
        <w:t xml:space="preserve">Ben walks away from closing with roughly nothing in his pocket</w:t>
      </w:r>
      <w:r w:rsidDel="00000000" w:rsidR="00000000" w:rsidRPr="00000000">
        <w:rPr>
          <w:rtl w:val="0"/>
        </w:rPr>
        <w:t xml:space="preserve"> and a five-figure negative if his state taxes income. And the "cash portion taxable / equity portion deferred" sentence in the LOI is simply not true of the partnership structure and should not go to Ben in that form.</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Tax at exit (Year 5) and the after-tax comparison</w:t>
      </w:r>
    </w:p>
    <w:tbl>
      <w:tblPr>
        <w:tblStyle w:val="Table6"/>
        <w:tblW w:w="9359.999999999998"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1422.7199999999998"/>
        <w:gridCol w:w="1422.7199999999998"/>
        <w:gridCol w:w="1422.7199999999998"/>
        <w:gridCol w:w="1422.7199999999998"/>
        <w:gridCol w:w="1422.7199999999998"/>
        <w:tblGridChange w:id="0">
          <w:tblGrid>
            <w:gridCol w:w="2246.3999999999996"/>
            <w:gridCol w:w="1422.7199999999998"/>
            <w:gridCol w:w="1422.7199999999998"/>
            <w:gridCol w:w="1422.7199999999998"/>
            <w:gridCol w:w="1422.7199999999998"/>
            <w:gridCol w:w="1422.7199999999998"/>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Structure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Pre-tax Year 5</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Tax at close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Tax on Year-5 exits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After-tax Year 5</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After-tax if Topkey shares are QSBS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Standalone (sell Keystone in Year 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$7.49M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$5.99M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deferred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~$0.10M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~$2.00M (stock gain $8.0M at 23.8%;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$6.90M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$8.80M*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taxable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~$0.63M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~$1.41M (stock gain $5.5M at 23.8%;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$6.96M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$8.27M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Partnership 70/30 (with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$10.10M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~$0.45M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~$1.73M (Topkey stock gain $3.3M at 23.8%; Keystone 30% $4.2M at 20%;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$7.93M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$8.71M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70/30 (no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$9.60M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~$0.45M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$7.53M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$8.31M</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before="210" w:lineRule="auto"/>
        <w:rPr>
          <w:color w:val="555555"/>
          <w:sz w:val="20"/>
          <w:szCs w:val="20"/>
        </w:rPr>
      </w:pPr>
      <w:r w:rsidDel="00000000" w:rsidR="00000000" w:rsidRPr="00000000">
        <w:rPr>
          <w:color w:val="555555"/>
          <w:sz w:val="20"/>
          <w:szCs w:val="20"/>
          <w:rtl w:val="0"/>
        </w:rPr>
        <w:t xml:space="preserve">*QSBS is uncertain in the deferred structure – see below. Year-5 exit taxes assume Ben sells everything in Year 5; holding longer defers them. Figures exclude state tax and the small ordinary-income slice.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b w:val="1"/>
          <w:bCs w:val="1"/>
          <w:rtl w:val="0"/>
        </w:rPr>
        <w:t xml:space="preserve">Reading the table:</w:t>
      </w:r>
      <w:r w:rsidDel="00000000" w:rsidR="00000000" w:rsidRPr="00000000">
        <w:rPr>
          <w:rtl w:val="0"/>
        </w:rPr>
        <w:t xml:space="preserve"> after tax, the partnership remains the best outcome for Ben by ~$1M, and the ordering does not change. The buyout's deferral is worth only ~$50K in total tax over the life of the deal – the deferred gain is simply paid in Year 5 at a </w:t>
      </w:r>
      <w:r w:rsidDel="00000000" w:rsidR="00000000" w:rsidRPr="00000000">
        <w:rPr>
          <w:i w:val="1"/>
          <w:iCs w:val="1"/>
          <w:rtl w:val="0"/>
        </w:rPr>
        <w:t xml:space="preserve">higher</w:t>
      </w:r>
      <w:r w:rsidDel="00000000" w:rsidR="00000000" w:rsidRPr="00000000">
        <w:rPr>
          <w:rtl w:val="0"/>
        </w:rPr>
        <w:t xml:space="preserve"> rate (23.8% vs 20%) because Topkey stock is investment property. The deferral is a liquidity feature, not a tax saving. Meanwhile the taxable partnership route gives Ben a $1.6M basis in his Topkey shares and, critically, the possibility of QSBS treatment.</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How to cover Ben's closing tax bill without Topkey borrowing or raising</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None of these individually is enough; together they turn a $0 net-cash close into a workable one. Ranked by impact and ease:</w:t>
      </w:r>
    </w:p>
    <w:tbl>
      <w:tblPr>
        <w:tblStyle w:val="Table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620.7999999999997"/>
        <w:gridCol w:w="4841.6"/>
        <w:gridCol w:w="1497.6"/>
        <w:tblGridChange w:id="0">
          <w:tblGrid>
            <w:gridCol w:w="400"/>
            <w:gridCol w:w="2620.7999999999997"/>
            <w:gridCol w:w="4841.6"/>
            <w:gridCol w:w="1497.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Lever</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How it works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Effect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Move the effective date to January 2, 2027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 December 31, 2026 close puts Ben's tax in the 2026 return, due April 15, 2027. A January 2, 2027 close moves it to the 2027 return, due April 15, 2028. Ben avoids estimated-tax penalties by paying 110% of his 2026 liability through 2027 estimates (the prior-year safe harbor) and settles the balance in April 2028. Cost to Topkey: two days. Sign December 18 as planned; fund and close January 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~15 months of breathing room on the entire bill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Lift cash at close to $700K, stock to $1.4M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Same $2.1M for 70%; Ben's Topkey stake drops from 2.6% to 2.3%; Topkey issues $200K less stock. Frank has indicated the balance sheet can stretch to ~$700K.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+$180K net 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Value the Topkey stock at 409A fair market value for tax purposes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receives common. Topkey's most recent 409A (or a fresh one at closing) will price common well below the preferred-implied $60M – typically 40–60% of it for a company at this stage. Both parties must use the same FMV on Form 8594 and in their books; Topkey's basis in Keystone falls correspondingly, and Ben's basis in his shares falls too (offset later by QSBS if available). This is legitimate, defensible with an independent appraisal, and it also quietly makes the point that $1.6M of common is not worth $1.6M of preferred.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rFonts w:ascii="Arial Unicode MS" w:cs="Arial Unicode MS" w:eastAsia="Arial Unicode MS" w:hAnsi="Arial Unicode MS"/>
                <w:color w:val="2e7d32"/>
                <w:sz w:val="20"/>
                <w:szCs w:val="20"/>
                <w:vertAlign w:val="baseline"/>
                <w:rtl w:val="0"/>
              </w:rPr>
              <w:t xml:space="preserve">−$150K of closing tax at 50% FMV</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Tax-timed deferred purchase price (in place of the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$200–250K of the price is payable on April 1 of the year the closing tax is due, funded from Topkey's 70% share of Keystone's first-year distributions (~$320K at a 17% Year-1 margin). Installment-sale treatment (IRC §453) means Ben is not taxed on it until received; it does not increase the closing-year bill. Note: the Topkey stock itself is </w:t>
            </w:r>
            <w:r w:rsidDel="00000000" w:rsidR="00000000" w:rsidRPr="00000000">
              <w:rPr>
                <w:i w:val="1"/>
                <w:iCs w:val="1"/>
                <w:sz w:val="20"/>
                <w:szCs w:val="20"/>
                <w:vertAlign w:val="baseline"/>
                <w:rtl w:val="0"/>
              </w:rPr>
              <w:t xml:space="preserve">not</w:t>
            </w:r>
            <w:r w:rsidDel="00000000" w:rsidR="00000000" w:rsidRPr="00000000">
              <w:rPr>
                <w:sz w:val="20"/>
                <w:szCs w:val="20"/>
                <w:vertAlign w:val="baseline"/>
                <w:rtl w:val="0"/>
              </w:rPr>
              <w:t xml:space="preserve"> eligible for installment deferral – only cash payments are.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+$200–250K arriving exactly when the tax is due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Pre-close distribution of Keystone's cash and a realistic working-capital peg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deal is cash-free/debt-free, so Ben sweeps Keystone's cash before closing – tax-free to the extent of his S-corp basis/AAA. Quantify it in QoE. Treating deferred revenue as an ordinary operating liability (rather than debt-like) in the peg can add $100K+ to what he keeps.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Depends on Keystone's cash; likely $150–300K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Mandatory quarterly tax distributions from Keystone LLC starting Q1 2027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Standard partnership term; needed anyway for phantom income. Ben's 30% share of Keystone's 2027 distributable cash (~$140K) lands before an April 2028 due date.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~$140K in 2027</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Loan against Topkey shares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 third-party or Topkey-facilitated loan secured by the Topkey stock is possible but Topkey funding it defeats the purpose; only as a backstop.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Last resort</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90" w:before="330" w:lineRule="auto"/>
        <w:ind w:left="180" w:right="180" w:firstLine="0"/>
        <w:rPr>
          <w:shd w:fill="f4f6fa" w:val="clear"/>
        </w:rPr>
      </w:pPr>
      <w:r w:rsidDel="00000000" w:rsidR="00000000" w:rsidRPr="00000000">
        <w:rPr>
          <w:b w:val="1"/>
          <w:bCs w:val="1"/>
          <w:shd w:fill="f4f6fa" w:val="clear"/>
          <w:rtl w:val="0"/>
        </w:rPr>
        <w:t xml:space="preserve">Combined effect (levers 1–4):</w:t>
      </w:r>
      <w:r w:rsidDel="00000000" w:rsidR="00000000" w:rsidRPr="00000000">
        <w:rPr>
          <w:shd w:fill="f4f6fa" w:val="clear"/>
          <w:rtl w:val="0"/>
        </w:rPr>
        <w:t xml:space="preserve"> January 2 close, $700K cash, 409A-based stock value of ~$700K, and a $250K deferred payment in April 2028. Ben's closing-year federal tax falls to roughly $300K, due April 2028; between $630K of net cash at close, ~$140K of 2027 tax distributions and a $250K payment timed to the due date, he has ~$1.0M of liquidity against a $300K bill. That is a deal a seller's CPA will approve.</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7.5 QSBS – potentially the most valuable term in the deal</w:t>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IRC §1202 excludes gain on qualified small business stock held long enough. For stock issued after July 4, 2025 the 2025 legislation set the gross-asset ceiling at $75M, the per-issuer exclusion at $15M (indexed), and a tiered exclusion of 50% after 3 years, 75% after 4, 100% after 5.</w:t>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Topkey has raised ~$8M and would take Keystone's assets on at $3M – comfortably below $75M. The open question is the active-business test: §1202(e)(3) excludes businesses in banking, financing, insurance and investing. Topkey sells expense management, cards, bill pay and banking/payments software. Most fintech software companies take the position that they are software providers, not banks or lenders, but this needs a written opinion from Topkey's counsel. If Topkey's other investors have been told their shares are QSBS, the answer already exists.</w:t>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 the taxable structures</w:t>
      </w:r>
      <w:r w:rsidDel="00000000" w:rsidR="00000000" w:rsidRPr="00000000">
        <w:rPr>
          <w:rtl w:val="0"/>
        </w:rPr>
        <w:t xml:space="preserve"> (partnership, or taxable buyout), Ben's holdco receives Topkey stock at original issue in exchange for property – exactly what §1202(c)(1)(B) requires. A pass-through holder can claim the exclusion (§1202(g)). If it qualifies, Ben's Year-5 Topkey gain ($3.3M in the partnership case) is 100% excluded – worth ~$785K, or ~$1.9M in the buyout case.</w:t>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 the deferred buyout</w:t>
      </w:r>
      <w:r w:rsidDel="00000000" w:rsidR="00000000" w:rsidRPr="00000000">
        <w:rPr>
          <w:rtl w:val="0"/>
        </w:rPr>
        <w:t xml:space="preserve">, Ben exchanges </w:t>
      </w:r>
      <w:r w:rsidDel="00000000" w:rsidR="00000000" w:rsidRPr="00000000">
        <w:rPr>
          <w:i w:val="1"/>
          <w:iCs w:val="1"/>
          <w:rtl w:val="0"/>
        </w:rPr>
        <w:t xml:space="preserve">stock</w:t>
      </w:r>
      <w:r w:rsidDel="00000000" w:rsidR="00000000" w:rsidRPr="00000000">
        <w:rPr>
          <w:rtl w:val="0"/>
        </w:rPr>
        <w:t xml:space="preserve"> for stock. §1202(c)(1)(B) excludes stock-for-stock issuances from "original issue," and §1202(h)(4) only preserves QSBS status if the surrendered stock was itself QSBS – Keystone S-corp stock is not. QSBS is therefore doubtful in the deferred structure unless counsel can engineer the exchange as property-for-stock (e.g., Keystone LLC assets into Topkey). This is a real reason a taxable partnership structure can be </w:t>
      </w:r>
      <w:r w:rsidDel="00000000" w:rsidR="00000000" w:rsidRPr="00000000">
        <w:rPr>
          <w:i w:val="1"/>
          <w:iCs w:val="1"/>
          <w:rtl w:val="0"/>
        </w:rPr>
        <w:t xml:space="preserve">better</w:t>
      </w:r>
      <w:r w:rsidDel="00000000" w:rsidR="00000000" w:rsidRPr="00000000">
        <w:rPr>
          <w:rtl w:val="0"/>
        </w:rPr>
        <w:t xml:space="preserve"> for Ben after tax than the "tax-deferred" buyout, and it belongs in the pitch.</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 Other tax points to get right in drafting</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Repurchase right and §83.</w:t>
      </w:r>
      <w:r w:rsidDel="00000000" w:rsidR="00000000" w:rsidRPr="00000000">
        <w:rPr>
          <w:rtl w:val="0"/>
        </w:rPr>
        <w:t xml:space="preserve"> v10/v12 now describe an "unvested portion" of Ben's shares. Vesting language invites the IRS to treat the shares as compensation for future services (ordinary income, W-2 withholding, no QSBS). Keep the economics but use "repurchase right at fair market value" language and avoid the words "vest/unvested"; a repurchase at FMV is not a substantial risk of forfeiture. Consider a protective §83(b) election anyway.</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of gain.</w:t>
      </w:r>
      <w:r w:rsidDel="00000000" w:rsidR="00000000" w:rsidRPr="00000000">
        <w:rPr>
          <w:rtl w:val="0"/>
        </w:rPr>
        <w:t xml:space="preserve"> Cash-basis receivables and any §1245 recapture are ordinary income on the 70% sold (~$55K of extra tax on our $150K assumption). Confirm Keystone's method of accounting in QoE.</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8594</w:t>
      </w:r>
      <w:r w:rsidDel="00000000" w:rsidR="00000000" w:rsidRPr="00000000">
        <w:rPr>
          <w:rtl w:val="0"/>
        </w:rPr>
        <w:t xml:space="preserve"> allocation must match between Ben's holdco and Topkey; the agreed FMV of the Topkey shares is part of it.</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Section 754 election</w:t>
      </w:r>
      <w:r w:rsidDel="00000000" w:rsidR="00000000" w:rsidRPr="00000000">
        <w:rPr>
          <w:rtl w:val="0"/>
        </w:rPr>
        <w:t xml:space="preserve"> for Keystone LLC so Topkey gets its §743(b) step-up; </w:t>
      </w:r>
      <w:r w:rsidDel="00000000" w:rsidR="00000000" w:rsidRPr="00000000">
        <w:rPr>
          <w:b w:val="1"/>
          <w:bCs w:val="1"/>
          <w:rtl w:val="0"/>
        </w:rPr>
        <w:t xml:space="preserve">§704(c)</w:t>
      </w:r>
      <w:r w:rsidDel="00000000" w:rsidR="00000000" w:rsidRPr="00000000">
        <w:rPr>
          <w:rtl w:val="0"/>
        </w:rPr>
        <w:t xml:space="preserve"> tracking of Ben's ~$900K built-in gain on the 30% he contributes.</w:t>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Ben's exit on the 30%</w:t>
      </w:r>
      <w:r w:rsidDel="00000000" w:rsidR="00000000" w:rsidRPr="00000000">
        <w:rPr>
          <w:rtl w:val="0"/>
        </w:rPr>
        <w:t xml:space="preserve"> (put/call in years 3–5) is a taxable sale of a partnership interest (§741, with §751 ordinary income on hot assets). If paid in Topkey stock it is taxable again unless folded into a broader §351 with other contributors. Draft the put to be payable in cash from Keystone distributions or Topkey stock at Ben's election, and agree the formula (greater of 1.25x revenue or 6.0x EBITDA) now.</w:t>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Employment.</w:t>
      </w:r>
      <w:r w:rsidDel="00000000" w:rsidR="00000000" w:rsidRPr="00000000">
        <w:rPr>
          <w:rtl w:val="0"/>
        </w:rPr>
        <w:t xml:space="preserve"> Have Topkey (not Keystone LLC) employ Ben so he keeps W-2 wages and benefits; a partner cannot be a W-2 employee of his own partnership.</w:t>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Topkey side.</w:t>
      </w:r>
      <w:r w:rsidDel="00000000" w:rsidR="00000000" w:rsidRPr="00000000">
        <w:rPr>
          <w:rtl w:val="0"/>
        </w:rPr>
        <w:t xml:space="preserve"> The taxable route hands Topkey a ~$2.1M basis in 70% of Keystone's assets and ~$140K/yr of §197 amortization; the deferred route hands it carryover basis. The step-up has real value even if Topkey is in NOLs today – it is a legitimate reason for Topkey to fund a slightly higher cash number.</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What Is Still Unfair to Ben in v10/v12 – and Where to Fix It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Rule="auto"/>
        <w:rPr>
          <w:color w:val="555555"/>
          <w:sz w:val="20"/>
          <w:szCs w:val="20"/>
        </w:rPr>
      </w:pPr>
      <w:r w:rsidDel="00000000" w:rsidR="00000000" w:rsidRPr="00000000">
        <w:pict>
          <v:rect style="width:0.0pt;height:1.5pt" o:hr="t" o:hrstd="t" o:hralign="center" fillcolor="#A0A0A0" stroked="f"/>
        </w:pict>
      </w:r>
      <w:r w:rsidDel="00000000" w:rsidR="00000000" w:rsidRPr="00000000">
        <w:rPr>
          <w:color w:val="555555"/>
          <w:sz w:val="20"/>
          <w:szCs w:val="20"/>
          <w:rtl w:val="0"/>
        </w:rPr>
        <w:t xml:space="preserve">Placement rule of thumb: put in the LOI anything that changes the economics or structure, anything Ben's advisor will certainly find and reprice around, and any principle the definitive-agreement drafters need to start from. Leave for the purchase agreement, stockholder agreement, operating agreement and employment agreement anything that is mechanics, definitions, thresholds or schedules.</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1872"/>
        <w:gridCol w:w="2620.7999999999997"/>
        <w:gridCol w:w="2620.7999999999997"/>
        <w:gridCol w:w="1846.400000000001"/>
        <w:tblGridChange w:id="0">
          <w:tblGrid>
            <w:gridCol w:w="400"/>
            <w:gridCol w:w="1872"/>
            <w:gridCol w:w="2620.7999999999997"/>
            <w:gridCol w:w="2620.7999999999997"/>
            <w:gridCol w:w="1846.4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Term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it is unfair / a problem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Proposed change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Structure still 100% sale; partnership bracketed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single biggest driver of Ben's outcome is left as Topkey's "open item."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Present the 70/30 partnership as the primary structure (with 100% buyout as the alternative Ben can elect). One paragraph: percentages, consideration, tax distributions, put/call principle, reserved matters "customary for a 30% holder."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 it is the deal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$60M reference valuation vs $50M last SAFE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pays a 20% premium to the last investor with no priced round to justify it. His advisor will find it in the LOI's own Background section.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Reference valuation = $50M (or the next priced round if lower).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 headline economics; better to lead than be caught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Common stock at preferred-implied price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SAFEs convert ahead of common; on a 409A basis common is worth ~half the reference price.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Either (a) same class as the SAFE conversion / next preferred, or (b) common at the 409A price (which also cuts Ben's tax). State the principle: "Ben's shares will rank no lower than the SAFE holders' shares on conversion."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for the principle; class mechanics in stockholder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$40M price-protection floor; Topkey sale "to be discussed"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Floor leaves Ben exposed 33% below entry; a sale of Topkey is the likeliest liquidity event.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Floor $45–50M pre-money; "price protection applies to the implied price in any sale of Topkey within the protection period."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one sentence each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liquidity path for Topkey shares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89–90% of Year-5 value illiquid with no put, secondary or registration rights.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Pro-rata participation in any company-sponsored secondary; tag-along; piggyback registration rights; for the Keystone 30%, a put/call in years 3–5 at the agreed formula.</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one line ("customary liquidity rights including secondary participation and a put/call on the retained interest"); mechanics in stockholder / operating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treatment sentence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"Equity portion tax-deferred" is false in the partnership structure and unproven in the buyout.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Replace with: "The parties will jointly engage tax counsel to structure the transaction, targeting [an F-reorganization followed by a sale of 70% of Keystone LLC]. The parties will cooperate to maximize QSBS eligibility of the Topkey shares and will agree the fair market value of the Topkey shares for tax purposes based on an independent 409A valuation."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 Ben's CPA will read this sentence first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 at close $500K; Dec 31 effective date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Net of tax Ben has ~$0 at close.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$700K cash; effective date January 2, 2027; $200–250K deferred purchase price payable April 1, 2028 from Keystone distributions.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 economics and timeline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Earnout in model, not in documents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Ambiguity; and in the partnership it double-pays and needs cash Topkey lacks.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Drop in partnership structure; if kept in buyout, cap $600K and make payable solely from Keystone distributable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if any earnout exists it must be in the 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Brand: bracketed rebrand to Topkey, while "good reason" includes a brand change without consent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Internally contradictory; Ben cannot tell whether he is agreeing to a rebrand now.</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a Topkey company" for at least 24 months; any further rebrand by joint decision. Remove the bracket.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resolve the contradiction now; roll-out plan in 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Banking and tool migration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Client trust funds move to a platform whose trust ledger is "in development"; migration timing controlled by Topkey.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Migrations only after written readiness acceptance by Ben; bonus targets adjusted in any migration year.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 / operating agreement (principle already implied by "clients not moved until ready")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Indemnity cap, basket, survival all [X]</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exposure could exceed his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Cap 10% of purchase price (fundamental reps excepted); basket 0.75%; 15-month general survival; claims satisfied first from escrow, then by set-off against Topkey shares at the reference price, before any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state cap and survival (they drive price); baskets, materiality scrapes, definitions in 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Working-capital peg undefined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Deferred revenue treatment can swing Ben's pre-close cash by six figures.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Agree in principle that deferred revenue is an operating liability, not debt-like; peg set on trailing-12-month average.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 – but flag the principle in a diligence call before signing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Bonus "up to $50K based on budget and KPIs"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Binary; and total earning potential fell from a possible $250K to a likely $200K.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Sliding scale 50–150% of $50K; plus a Topkey option grant on the standard plan.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Employment agreement – mention "sliding scale" in LOI only if Ben pushes on comp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Pricing changes &gt;5% need approval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Tight for an operator running pricing day to day.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 / operating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"Unvested portion" wording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Section 83 recharacterization risk (§7.6).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"Repurchase right over a declining portion of the shares at fair market value."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wording tweak now (cheap); mechanics in 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Related-party recruiting at no fee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Fine when Ben owned 100%; at 30% he is subsidizing Topkey's 70%.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Arm's-length fee or explicit acknowledgment as a contribution; Topkey approval mechanics already in place.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Offshore contractor classification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Diligence item that will become a rep; Ben bears 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Special indemnity capped at the escrow, or R&amp;W-style allocation; agree the go-forward model before closing.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Exclusivity 90 + 30 days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Acceptable; slightly long for an 11-week process.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Optional: 75 + 30, with Topkey diligence milestones.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minor</w:t>
            </w:r>
          </w:p>
        </w:tc>
      </w:tr>
    </w:tbl>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Practical view on LOI vs later documents</w:t>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Put items 1–9 and 11 in the LOI.</w:t>
      </w:r>
      <w:r w:rsidDel="00000000" w:rsidR="00000000" w:rsidRPr="00000000">
        <w:rPr>
          <w:rtl w:val="0"/>
        </w:rPr>
        <w:t xml:space="preserve"> They are structure, price, tax and timing. A buyer's LOI does not normally volunteer seller-favorable terms, but this is a cash-constrained buyer whose deal only works if the seller believes the paper. Every one of these will be found by a competent seller's advisor; finding them </w:t>
      </w:r>
      <w:r w:rsidDel="00000000" w:rsidR="00000000" w:rsidRPr="00000000">
        <w:rPr>
          <w:i w:val="1"/>
          <w:iCs w:val="1"/>
          <w:rtl w:val="0"/>
        </w:rPr>
        <w:t xml:space="preserve">after</w:t>
      </w:r>
      <w:r w:rsidDel="00000000" w:rsidR="00000000" w:rsidRPr="00000000">
        <w:rPr>
          <w:rtl w:val="0"/>
        </w:rPr>
        <w:t xml:space="preserve"> exclusivity is signed converts them into retrades, and retrades on a deal this size usually mean a walk. Leading with them buys trust, shortens diligence, and lets Topkey trade them for the things it wants (exclusivity, the referral partnership, control of integration).</w:t>
      </w:r>
    </w:p>
    <w:p w:rsidR="00000000" w:rsidDel="00000000" w:rsidP="00000000" w:rsidRDefault="00000000" w:rsidRPr="00000000" w14:paraId="000001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Hold items 10, 12–17 for the definitive agreements.</w:t>
      </w:r>
      <w:r w:rsidDel="00000000" w:rsidR="00000000" w:rsidRPr="00000000">
        <w:rPr>
          <w:rtl w:val="0"/>
        </w:rPr>
        <w:t xml:space="preserve"> They are mechanics. Putting them in the LOI adds pages, slows signature, and signals over-lawyering. Mention items 12 and 13 verbally on the walk-through call so nothing surprises Ben later.</w:t>
      </w:r>
    </w:p>
    <w:p w:rsidR="00000000" w:rsidDel="00000000" w:rsidP="00000000" w:rsidRDefault="00000000" w:rsidRPr="00000000" w14:paraId="000001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 Ben does not have an advisor,</w:t>
      </w:r>
      <w:r w:rsidDel="00000000" w:rsidR="00000000" w:rsidRPr="00000000">
        <w:rPr>
          <w:rtl w:val="0"/>
        </w:rPr>
        <w:t xml:space="preserve"> the case for a fairer LOI is stronger, not weaker: an unadvised seller who later learns he took common at a premium price with a tax bill equal to his cash does not come back to the table – he leaves and tells the market.</w:t>
      </w:r>
    </w:p>
    <w:p w:rsidR="00000000" w:rsidDel="00000000" w:rsidP="00000000" w:rsidRDefault="00000000" w:rsidRPr="00000000" w14:paraId="000001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the LOI short.</w:t>
      </w:r>
      <w:r w:rsidDel="00000000" w:rsidR="00000000" w:rsidRPr="00000000">
        <w:rPr>
          <w:rtl w:val="0"/>
        </w:rPr>
        <w:t xml:space="preserve"> The current draft is already long for a $3M deal. The partnership paragraph, the revised tax sentence, the valuation/class changes and the timeline change together add fewer than 200 words if the operating-agreement detail is deferred to a two-page term sheet attached as an exhibit.</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Recommended Next Steps</w:t>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rtl w:val="0"/>
        </w:rPr>
        <w:t xml:space="preserve">Reconcile the model: one partnership multiple across both tabs (2.0x base, 3.0x upside), 10–15% base-case dilution, earnout removed from the partnership tab, and an after-tax line using §7's assumptions. Re-run at a $50M Topkey reference valuation as well as $60M.</w:t>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 with Jon: $700K cash capacity, willingness to move the effective date to January 2, and appetite for 70/30 vs 75/25 as the opening position (51/49 as the floor).</w:t>
      </w:r>
    </w:p>
    <w:p w:rsidR="00000000" w:rsidDel="00000000" w:rsidP="00000000" w:rsidRDefault="00000000" w:rsidRPr="00000000" w14:paraId="000001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Engage joint tax counsel this week with a defined brief: F-reorg mechanics, Rev. Rul. 99-5 treatment, 409A valuation of Topkey common at closing, QSBS eligibility of Topkey (active-business test), §83 drafting of the repurchase right, and the put/call tax design. Ask Topkey's counsel whether existing investors have been given a QSBS position.</w:t>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Obtain from Ben in early diligence: his stock basis, Keystone's accounting method, state of residence, and current owner compensation and distributions. Every tax figure above moves with the first three.</w:t>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Revise LOI v10 / Offer v12 per §8 items 1–9, 11 and 15; attach a two-page operating-agreement term sheet; hold everything else for the definitive documents.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Prepared by AMB Advisory Services LLC. This report is deal-structuring analysis and does not constitute legal or tax advice; all tax observations should be confirmed by qualified tax counsel and the parties' CPAs before being relied upon or communicated to the seller.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3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90" w:lineRule="auto"/>
    </w:pPr>
    <w:rPr>
      <w:b w:val="1"/>
      <w:bCs w:val="1"/>
      <w:i w:val="0"/>
      <w:iCs w:val="0"/>
      <w:color w:val="1a3c6e"/>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pPr>
    <w:rPr>
      <w:b w:val="1"/>
      <w:bCs w:val="1"/>
      <w:i w:val="0"/>
      <w:iCs w:val="0"/>
      <w:color w:val="1a3c6e"/>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