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Keystone Bookkeepers – Offer Structures Compared: Partnership (70/30) vs. 100% Buyout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Economics for both parties, downsides, and the go-forward tax, legal, reporting and fundraising consequences of each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Prepared by AMB Advisory Services LLC for Jon Sukhia / Topkey | September 24, 2026 | Confidential – internal to Topkey and its advisors; not for Ben or Keystone.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Inputs: Keystone_Offer_Scenario_Analysis.pdf (Partnership and 100% Buyout tabs, current run), Keystone_LOI_v10.docx, Keystone_Offer_v12.docx, the Offer Review v3 (tax and NH analysis), and the nine deal-call transcripts from Sept 3 through Sept 24 (including the Sept 17 CFO sync with Josh at Burkland and the Sept 24 software/R&amp;D session with Ben, Pete and Darren).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60" w:lineRule="auto"/>
        <w:rPr>
          <w:color w:val="444444"/>
          <w:sz w:val="18"/>
          <w:szCs w:val="18"/>
        </w:rPr>
      </w:pPr>
      <w:r w:rsidDel="00000000" w:rsidR="00000000" w:rsidRPr="00000000">
        <w:rPr>
          <w:color w:val="444444"/>
          <w:sz w:val="18"/>
          <w:szCs w:val="18"/>
          <w:rtl w:val="0"/>
        </w:rPr>
        <w:t xml:space="preserve">Tax, securities and accounting statements in this report are structuring analysis by a deal advisor, not legal, tax or accounting advice. They rest on stated assumptions (in particular: Keystone is an LLC taxed as an S corporation, Ben is the sole owner with a zero basis, Ben is a New Hampshire resident, Topkey is a Delaware C corporation with net operating losses) and must be confirmed by tax counsel, Topkey's securities counsel (Corey), Josh/Burkland, and Topkey's 409A appraiser before they are relied on or repeated to Ben.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two structures on the table</w:t>
      </w:r>
    </w:p>
    <w:tbl>
      <w:tblPr>
        <w:tblStyle w:val="Table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433.6000000000004"/>
        <w:gridCol w:w="3463.2"/>
        <w:gridCol w:w="3463.2"/>
        <w:tblGridChange w:id="0">
          <w:tblGrid>
            <w:gridCol w:w="2433.6000000000004"/>
            <w:gridCol w:w="3463.2"/>
            <w:gridCol w:w="3463.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Term</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Partnership – Topkey 70% / Ben 30%</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100% Buyout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Keystone value (100%)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$3.0M (1.0x run-rate recurring revenue)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$3.0M (1.0x run-rate recurring revenue)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Stake Topkey acquires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70% – price $2.1M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100% – price $3.0M plus contingent earnout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Cash at close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$650K (31% of the price for the 70%); 10% escrow = $65K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$500K (17% of the $3.0M); 10% escrow = $50K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Topkey stock issued to Ben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$1.45M – about 2.4% of Topkey post-close at the $60M reference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$2.5M – about 4.0% of Topkey post-close at the $60M reference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Ben's retained interest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30% of Keystone LLC (worth $900K today)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None – all of Ben's upside sits in Topkey shares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Earnout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$500K target cash earnout on Year-3 run-rate revenue of $5.33M (80% threshold pays 50%; capped at $750K); modeled at 70% probability, ~$230K present value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Total consideration Topkey pays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$2.1M ($650K cash / $1.45M stock)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$3.5M ($1.0M cash incl. earnout / $2.5M stock)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Cash Topkey must fund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$650K at close; nothing later except a future put/call on the 30%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$500K at close plus up to $750K in Year 3 (2029/30)</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60" w:before="200" w:lineRule="auto"/>
        <w:rPr/>
      </w:pPr>
      <w:r w:rsidDel="00000000" w:rsidR="00000000" w:rsidRPr="00000000">
        <w:rPr>
          <w:rtl w:val="0"/>
        </w:rPr>
        <w:t xml:space="preserve">Both structures assume Ben becomes a Topkey W-2 employee (Head of Accounting Services, $200K base + up to $50K bonus, five-year agreement), keeps day-to-day control of Keystone inside an approved budget, and that Keystone becomes Topkey's exclusive bookkeeping partner for platform customers.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Why either structure is attractive – and to whom</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shared thesis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structures are built on the same four assumptions from the model and the diligence calls, and both parties should be told plainly that these are what has to be true for the deal to work:</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Keystone's steady-state earnings are real.</w:t>
      </w:r>
      <w:r w:rsidDel="00000000" w:rsidR="00000000" w:rsidRPr="00000000">
        <w:rPr>
          <w:rtl w:val="0"/>
        </w:rPr>
        <w:t xml:space="preserve"> On today's client base, normalized bookkeeper loads (4.5 to ~8 clients each) and the software replacements Ben is already making (Karbon, Uncat, Zenit), Keystone gets to roughly $470–500K of adjusted EBITDA. That supports the $3.0M price at ~6x.</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Topkey adds growth Keystone cannot get alone.</w:t>
      </w:r>
      <w:r w:rsidDel="00000000" w:rsidR="00000000" w:rsidRPr="00000000">
        <w:rPr>
          <w:rtl w:val="0"/>
        </w:rPr>
        <w:t xml:space="preserve"> The model assumes 12 additional net clients a year from Topkey's 325-company platform on top of Keystone's 36 (48 total), taking Keystone from ~$3.0M to ~$7.0M of Year-5 revenue instead of ~$6.0M.</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Software replaces cost.</w:t>
      </w:r>
      <w:r w:rsidDel="00000000" w:rsidR="00000000" w:rsidRPr="00000000">
        <w:rPr>
          <w:rtl w:val="0"/>
        </w:rPr>
        <w:t xml:space="preserve"> Replacing VR Platform (now ~$200–240K a year and rising after their price increase) with Topkey's trust-accounting product, on a timeline Ben's team can absorb, adds roughly $240K of run-rate margin and lifts steady-state margins from ~15% to ~20%.</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combined business re-rates.</w:t>
      </w:r>
      <w:r w:rsidDel="00000000" w:rsidR="00000000" w:rsidRPr="00000000">
        <w:rPr>
          <w:rtl w:val="0"/>
        </w:rPr>
        <w:t xml:space="preserve"> A tech-enabled accounting business inside a software company is worth more than a standalone bookkeeping firm: the model uses 2.0x revenue (about 10x EBITDA at 20% margins) versus 1.25x standalone. Jon's view is that this is conservative for what YC-backed services-plus-software companies are raising at; Frank's view is that 2.0–2.5x is the lowest defensible number.</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What each structure delivers – Year 5, base case ($000s)</w:t>
      </w:r>
    </w:p>
    <w:tbl>
      <w:tblPr>
        <w:tblStyle w:val="Table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Metric</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Partnership 70/30</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100% Buyout</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Difference</w:t>
            </w:r>
          </w:p>
        </w:tc>
      </w:tr>
      <w:tr>
        <w:trPr>
          <w:cantSplit w:val="0"/>
          <w:tblHeader w:val="0"/>
        </w:trPr>
        <w:tc>
          <w:tcPr>
            <w:gridSpan w:val="4"/>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80" w:before="80" w:lineRule="auto"/>
              <w:rPr>
                <w:b w:val="1"/>
                <w:bCs w:val="1"/>
                <w:sz w:val="18"/>
                <w:szCs w:val="18"/>
                <w:vertAlign w:val="baseline"/>
              </w:rPr>
            </w:pPr>
            <w:r w:rsidDel="00000000" w:rsidR="00000000" w:rsidRPr="00000000">
              <w:rPr>
                <w:b w:val="1"/>
                <w:bCs w:val="1"/>
                <w:sz w:val="18"/>
                <w:szCs w:val="18"/>
                <w:vertAlign w:val="baseline"/>
                <w:rtl w:val="0"/>
              </w:rPr>
              <w:t xml:space="preserve">Jon / Topkey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Total invested by Topkey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$2,100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$3,500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Partnership $1,400 less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Cost per 1% of Keystone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$30.0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$35.0 ($46.7 on the incremental 30%)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Year-5 value of Topkey's Keystone stake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$9,786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$13,980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Buyout +$4,194</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Deal MOIC / IRR on the stake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4.66x / 36.0%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3.99x / 34.2%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Partnership better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Hurdle MOIC / IRR (break-even for Jon after dilution)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2.38x / 18.9%</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2.67x / 21.7%</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Partnership lower bar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Net value created for Jon (Year 5, after the dilution he gives Ben)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$4,440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$4,998</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Buyout +$558</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All-in MOIC / IRR for Jon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3.11x / 25.5%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2.43x / 19.4%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Partnership better</w:t>
            </w:r>
          </w:p>
        </w:tc>
      </w:tr>
      <w:tr>
        <w:trPr>
          <w:cantSplit w:val="0"/>
          <w:tblHeader w:val="0"/>
        </w:trPr>
        <w:tc>
          <w:tcPr>
            <w:gridSpan w:val="4"/>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80" w:before="80" w:lineRule="auto"/>
              <w:rPr>
                <w:b w:val="1"/>
                <w:bCs w:val="1"/>
                <w:sz w:val="18"/>
                <w:szCs w:val="18"/>
                <w:vertAlign w:val="baseline"/>
              </w:rPr>
            </w:pPr>
            <w:r w:rsidDel="00000000" w:rsidR="00000000" w:rsidRPr="00000000">
              <w:rPr>
                <w:b w:val="1"/>
                <w:bCs w:val="1"/>
                <w:sz w:val="18"/>
                <w:szCs w:val="18"/>
                <w:vertAlign w:val="baseline"/>
                <w:rtl w:val="0"/>
              </w:rPr>
              <w:t xml:space="preserve">Ben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Year-5 value – standalone (keeps 100%)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$7,490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$7,490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Year-5 value – with the deal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$9,084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$8,333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Partnership +$751</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Uplift vs standalone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+$1,594 (+21%)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+$843 (+11%)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MOIC / IRR on the $3.0M he contributes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3.03x / 29.1%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2.78x / 26.6%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Where the value comes from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46% retained Keystone stake, 44% Topkey ex-Keystone, 7% cash, 2% Keystone via Topkey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82% Topkey ex-Keystone, 6% Keystone via Topkey, 6% cash, 6% earnout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Buyout is almost entirely a bet on Topkey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Cash received (Year 0 / Year 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$650 / –</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$500 / $500 (if earned)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Buyout more cash over time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Illiquid share of Year-5 value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93%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88%</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t>
            </w:r>
          </w:p>
        </w:tc>
      </w:tr>
    </w:tbl>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Why the partnership is the better structure for Jon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extra 30% Topkey would buy in the buyout costs $1.4M more (an extra $1.05M of Topkey stock, an extra $500K of cash earnout, less $150K of closing cash). The model values that last 30% at $4.19M in Year 5, a 3.0x deal MOIC on its own – but after the dilution Jon takes to pay for it, it adds only $558K of net value at a 6.9% all-in IRR. That is well below the ~25% a year Topkey's own equity is expected to compound at, so paying for the last 30% with Topkey stock is dilutive to Jon. Put simply: the first 70% is a great use of Topkey shares; the last 30% is not, at today's price.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partnership also removes the one component Topkey could not comfortably fund. The buyout's $500K–750K cash earnout lands in Year 3, when Topkey's balance sheet (about $2.2M of cash today, ~$50–70K monthly burn, a charge-card facility being refinanced with Thread) may still be growth-constrained, and Josh's advice was clear that an earnout is a liability Topkey would rather not carry into a raise.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Why the partnership is also the better structure for Ben – on the numbers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Ben ends Year 5 with ~$750K more value, needs Topkey to grow at only 12.8% a year to beat going it alone (versus 21.5% in the buyout, against an estimated 24.8%), and can absorb a 41% dilution of his Topkey stake or a 40% fall in Topkey's value before he is worse off. In the buyout his break-even dilution tolerance is only 16% and his cushion on Topkey's exit multiple is 2.4 turns (19.2x → 16.8x) – a normal Series A round plus one down-tick in multiple would put him below standalone. Because 46% of his partnership value sits in the 30% of Keystone he still owns, he keeps direct exposure to the business he knows and controls.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His stated priorities from the Sept 17–24 calls line up with the partnership: he wants autonomy, does not want a rushed VR Platform migration ("no cutover on February 1"), does not want to be a small passive holder in someone else's company, and has said the primary consideration is not financial.</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Consequences and downsides of each structure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Partnership 70/30 – downsides for Topkey</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Integration becomes negotiated.</w:t>
      </w:r>
      <w:r w:rsidDel="00000000" w:rsidR="00000000" w:rsidRPr="00000000">
        <w:rPr>
          <w:rtl w:val="0"/>
        </w:rPr>
        <w:t xml:space="preserve"> A 30% partner with reserved matters (rebrand, tool migration, intercompany pricing, distributions, new equity, related-party deals) can slow the things Topkey wants most: moving Keystone's listings onto Topkey trust accounting, folding Keystone's client portal into Topkey's, and eventually operating under one brand. The Sept 24 session showed Ben is collaborative but protective of his team's pace; put the migration principles in writing now (Section 5 of the companion LOI report).</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Every intercompany flow moves value between the pools.</w:t>
      </w:r>
      <w:r w:rsidDel="00000000" w:rsidR="00000000" w:rsidRPr="00000000">
        <w:rPr>
          <w:rtl w:val="0"/>
        </w:rPr>
        <w:t xml:space="preserve"> Keystone's Topkey subscription fees (~$36–48K a year today, and rising as clients migrate), referral economics for Topkey-sourced clients, Topkey engineering hours spent on Keystone, and any Topkey services Keystone resells all shift value between the 70/30 Keystone pool and the 100% Topkey pool. Ben will be economically motivated to keep value inside Keystone; Topkey the reverse. This needs an agreed transfer-pricing schedule.</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future obligation to buy the 30%.</w:t>
      </w:r>
      <w:r w:rsidDel="00000000" w:rsidR="00000000" w:rsidRPr="00000000">
        <w:rPr>
          <w:rtl w:val="0"/>
        </w:rPr>
        <w:t xml:space="preserve"> At the model's Year-5 value the 30% is worth ~$4.2M. Whether Ben has a put, Topkey a call, or both, this is a real future claim on Topkey's cash or shares. Structure it as Topkey's call, payable in Topkey stock at Topkey's election, with a formula (e.g. the greater of 1.25x revenue or 6.0x EBITDA on the 30%) and a drag on any sale of Topkey.</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Two governance regimes.</w:t>
      </w:r>
      <w:r w:rsidDel="00000000" w:rsidR="00000000" w:rsidRPr="00000000">
        <w:rPr>
          <w:rtl w:val="0"/>
        </w:rPr>
        <w:t xml:space="preserve"> Topkey's stockholder documents plus a Keystone LLC operating agreement (manager structure, reserved matters, information rights, tax distributions, ROFR/tag/drag, put/call, deadlock). More legal cost and more to diligence at the Series A.</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Ben's Topkey stake is smaller (2.4% vs 4.0%),</w:t>
      </w:r>
      <w:r w:rsidDel="00000000" w:rsidR="00000000" w:rsidRPr="00000000">
        <w:rPr>
          <w:rtl w:val="0"/>
        </w:rPr>
        <w:t xml:space="preserve"> so his alignment with Topkey-level outcomes is weaker; the 30% is what keeps him engaged. If Keystone outgrows Topkey, that is fine; if Topkey outgrows Keystone, Ben captures less of it.</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Noncontrolling interest and a partnership tax return</w:t>
      </w:r>
      <w:r w:rsidDel="00000000" w:rsidR="00000000" w:rsidRPr="00000000">
        <w:rPr>
          <w:rtl w:val="0"/>
        </w:rPr>
        <w:t xml:space="preserve"> (Section 4 and 6).</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Partnership 70/30 – downsides for Ben</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Closing is fully taxable on the 70%.</w:t>
      </w:r>
      <w:r w:rsidDel="00000000" w:rsidR="00000000" w:rsidRPr="00000000">
        <w:rPr>
          <w:rtl w:val="0"/>
        </w:rPr>
        <w:t xml:space="preserve"> With a zero basis, the entire $2.1M is gain at closing (federal ~20% on the capital portion, ordinary rates on cash-basis receivables and recapture, plus NH Business Profits Tax at the holdco level). The v3 estimate is ~$404K–603K of tax against $585K of cash after escrow, depending on the tax value assigned to the Topkey shares and NH apportionment. A January 2, 2027 effective date and a 409A-based tax value for the shares are what make this workable.</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Minority partner in his own business.</w:t>
      </w:r>
      <w:r w:rsidDel="00000000" w:rsidR="00000000" w:rsidRPr="00000000">
        <w:rPr>
          <w:rtl w:val="0"/>
        </w:rPr>
        <w:t xml:space="preserve"> Topkey controls the board, budget and hiring plan above budget; his protections are contractual, not control.</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Phantom income on the 30%.</w:t>
      </w:r>
      <w:r w:rsidDel="00000000" w:rsidR="00000000" w:rsidRPr="00000000">
        <w:rPr>
          <w:rtl w:val="0"/>
        </w:rPr>
        <w:t xml:space="preserve"> Keystone LLC will be a partnership; Ben's holdco is taxed on 30% of its income whether or not cash is distributed. Mandatory tax distributions fix this but must be in the operating agreement.</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Illiquidity rises to 93% of his Year-5 value</w:t>
      </w:r>
      <w:r w:rsidDel="00000000" w:rsidR="00000000" w:rsidRPr="00000000">
        <w:rPr>
          <w:rtl w:val="0"/>
        </w:rPr>
        <w:t xml:space="preserve"> and the exit on his 30% depends on the put/call terms.</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earnout upside</w:t>
      </w:r>
      <w:r w:rsidDel="00000000" w:rsidR="00000000" w:rsidRPr="00000000">
        <w:rPr>
          <w:rtl w:val="0"/>
        </w:rPr>
        <w:t xml:space="preserve"> if the combination outperforms – he captures it through the 30% instead, which is a fair trade but should be explained that way.</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3.3 100% Buyout – downsides for Topkey</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$1.4M more consideration for value Jon does not need to buy today,</w:t>
      </w:r>
      <w:r w:rsidDel="00000000" w:rsidR="00000000" w:rsidRPr="00000000">
        <w:rPr>
          <w:rtl w:val="0"/>
        </w:rPr>
        <w:t xml:space="preserve"> and 4.0% of Topkey issued instead of 2.4%.</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cash earnout Topkey has to fund from a growth-stage balance sheet</w:t>
      </w:r>
      <w:r w:rsidDel="00000000" w:rsidR="00000000" w:rsidRPr="00000000">
        <w:rPr>
          <w:rtl w:val="0"/>
        </w:rPr>
        <w:t xml:space="preserve"> in Year 3, recorded from day one as a contingent-consideration liability remeasured through the P&amp;L every quarter (ASC 805). Any Series A or B investor will price it as a claim on their money.</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Retention rests entirely on the repurchase right and the bonus.</w:t>
      </w:r>
      <w:r w:rsidDel="00000000" w:rsidR="00000000" w:rsidRPr="00000000">
        <w:rPr>
          <w:rtl w:val="0"/>
        </w:rPr>
        <w:t xml:space="preserve"> Once the 36-month continuity protection lapses, Ben's only ongoing economic tie is his 3.8–4.0% of Topkey and his salary.</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earnout creates a measurement dispute in waiting.</w:t>
      </w:r>
      <w:r w:rsidDel="00000000" w:rsidR="00000000" w:rsidRPr="00000000">
        <w:rPr>
          <w:rtl w:val="0"/>
        </w:rPr>
        <w:t xml:space="preserve"> Year-3 run-rate revenue is affected by Topkey's own decisions (referral volume, pricing of Topkey products, brand, tool migration). Every Topkey decision that touches Keystone revenue becomes a potential earnout claim.</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If structured as a tax-deferred reorganization, Topkey gets no basis step-up</w:t>
      </w:r>
      <w:r w:rsidDel="00000000" w:rsidR="00000000" w:rsidRPr="00000000">
        <w:rPr>
          <w:rtl w:val="0"/>
        </w:rPr>
        <w:t xml:space="preserve"> – it inherits Keystone's ~zero tax basis in ~$3M of goodwill and intangibles and forgoes ~$200K a year of amortization deductions for 15 years.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3.4 100% Buyout – downsides for Ben</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82% of his outcome depends on Topkey, a company he does not control</w:t>
      </w:r>
      <w:r w:rsidDel="00000000" w:rsidR="00000000" w:rsidRPr="00000000">
        <w:rPr>
          <w:rtl w:val="0"/>
        </w:rPr>
        <w:t xml:space="preserve"> and whose valuation he cannot verify beyond a $50M SAFE last year, a pending ~$200K Burkland SAFE at $60M, and a 409A that values common at a fraction of that. Jon has said himself that founders struggle to underwrite startup equity.</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Thin protection:</w:t>
      </w:r>
      <w:r w:rsidDel="00000000" w:rsidR="00000000" w:rsidRPr="00000000">
        <w:rPr>
          <w:rtl w:val="0"/>
        </w:rPr>
        <w:t xml:space="preserve"> he needs Topkey to grow 21.5% a year (estimated 24.7%); a fall in Topkey's multiple to 12x alone costs him $1.7M; all four modeled downsides together leave him $3.5M below standalone.</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Less cash certainty than the headline suggests:</w:t>
      </w:r>
      <w:r w:rsidDel="00000000" w:rsidR="00000000" w:rsidRPr="00000000">
        <w:rPr>
          <w:rtl w:val="0"/>
        </w:rPr>
        <w:t xml:space="preserve"> the earnout is contingent on a $5.33M Year-3 run-rate target (70% probability in the model) and on Topkey having the cash.</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 gives up control of a business he built for growth,</w:t>
      </w:r>
      <w:r w:rsidDel="00000000" w:rsidR="00000000" w:rsidRPr="00000000">
        <w:rPr>
          <w:rtl w:val="0"/>
        </w:rPr>
        <w:t xml:space="preserve"> which is inconsistent with everything he has told us about why he is at the table.</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Go-forward tax consequences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Key fact confirmed Sept 24:</w:t>
      </w:r>
      <w:r w:rsidDel="00000000" w:rsidR="00000000" w:rsidRPr="00000000">
        <w:rPr>
          <w:rtl w:val="0"/>
        </w:rPr>
        <w:t xml:space="preserve"> Keystone is an LLC that elected to be taxed as an S corporation (it was never a state-law corporation). That settles the LOI's open item 6(f) and means every route below starts from an S-corporation target. Ben is a New Hampshire resident: no personal income tax on wages or capital gains, but NH levies a 7.5% Business Profits Tax on business entities including S corporations and LLCs – so </w:t>
      </w:r>
      <w:r w:rsidDel="00000000" w:rsidR="00000000" w:rsidRPr="00000000">
        <w:rPr>
          <w:i w:val="1"/>
          <w:iCs w:val="1"/>
          <w:rtl w:val="0"/>
        </w:rPr>
        <w:t xml:space="preserve">who</w:t>
      </w:r>
      <w:r w:rsidDel="00000000" w:rsidR="00000000" w:rsidRPr="00000000">
        <w:rPr>
          <w:rtl w:val="0"/>
        </w:rPr>
        <w:t xml:space="preserve"> the seller is matters. Ben and his family are currently travelling in Europe; if he establishes tax residence abroad (Spain or Germany, for example) before closing or before an exit, the analysis changes materially – confirm his residency plans before signing.</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Partnership 70/30 – how it is built and taxed</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F-reorganization before closing.</w:t>
      </w:r>
      <w:r w:rsidDel="00000000" w:rsidR="00000000" w:rsidRPr="00000000">
        <w:rPr>
          <w:rtl w:val="0"/>
        </w:rPr>
        <w:t xml:space="preserve"> Ben forms a new holding company (NewCo, an S corporation); contributes 100% of Keystone LLC to NewCo; NewCo makes a QSub election for Keystone LLC, which then becomes a disregarded entity. Ben's S election continues at NewCo. This is the standard structure for an S-corporation target with a rollover.</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NewCo sells 70% of Keystone LLC to Topkey</w:t>
      </w:r>
      <w:r w:rsidDel="00000000" w:rsidR="00000000" w:rsidRPr="00000000">
        <w:rPr>
          <w:rtl w:val="0"/>
        </w:rPr>
        <w:t xml:space="preserve"> for $650K cash and $1.45M of Topkey shares. Under Rev. Rul. 99-5, Topkey is treated as buying 70% of Keystone's assets and then both parties contributing to a new partnership. Topkey gets a </w:t>
      </w:r>
      <w:r w:rsidDel="00000000" w:rsidR="00000000" w:rsidRPr="00000000">
        <w:rPr>
          <w:b w:val="1"/>
          <w:bCs w:val="1"/>
          <w:rtl w:val="0"/>
        </w:rPr>
        <w:t xml:space="preserve">tax basis step-up on the 70%</w:t>
      </w:r>
      <w:r w:rsidDel="00000000" w:rsidR="00000000" w:rsidRPr="00000000">
        <w:rPr>
          <w:rtl w:val="0"/>
        </w:rPr>
        <w:t xml:space="preserve"> it buys (roughly $92–140K a year of amortization for 15 years, depending on the value assigned to the shares); NewCo recognizes gain on the 70% sold; the retained 30% is not taxed until sold.</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Keystone LLC becomes a partnership for tax purposes</w:t>
      </w:r>
      <w:r w:rsidDel="00000000" w:rsidR="00000000" w:rsidRPr="00000000">
        <w:rPr>
          <w:rtl w:val="0"/>
        </w:rPr>
        <w:t xml:space="preserve"> (Topkey 70% / NewCo 30%): Form 1065, K-1s, §754 election and §704(c) tracking of Ben's built-in gain on the contributed 30%, mandatory tax distributions, NH BPT at the Keystone LLC level (already paid today as an S corp, so no new cost). Topkey reports its 70% share of Keystone income on its own return, where its NOLs can absorb it – no consolidated return is needed or available.</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Ben's Topkey shares can qualify as QSBS</w:t>
      </w:r>
      <w:r w:rsidDel="00000000" w:rsidR="00000000" w:rsidRPr="00000000">
        <w:rPr>
          <w:rtl w:val="0"/>
        </w:rPr>
        <w:t xml:space="preserve"> (issued for property, not stock) if Topkey is a qualified small business – the 2025 law changes allow 50/75/100% exclusion after 3/4/5 years up to $15M. Whether Topkey's banking and payments products fall in an excluded field needs a written opinion from Topkey counsel. NewCo must keep the shares to keep QSBS; NH BPT still applies to NewCo's gain on a later sale.</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Ben's closing tax:</w:t>
      </w:r>
      <w:r w:rsidDel="00000000" w:rsidR="00000000" w:rsidRPr="00000000">
        <w:rPr>
          <w:rtl w:val="0"/>
        </w:rPr>
        <w:t xml:space="preserve"> ~$404K–603K (v3 ranges) on $2.1M of gain; the difference is whether the Topkey shares are valued at the $60M reference or at 409A fair market value for common. Use the 409A value on Form 8594 – both sides must use the same number.</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4.2 100% Buyout – three ways to paper it, and they are not equivalent</w:t>
      </w:r>
    </w:p>
    <w:tbl>
      <w:tblPr>
        <w:tblStyle w:val="Table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Route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Ben's tax</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Topkey's tax</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Fit with the LOI as drafted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b w:val="1"/>
                <w:bCs w:val="1"/>
                <w:sz w:val="18"/>
                <w:szCs w:val="18"/>
                <w:vertAlign w:val="baseline"/>
                <w:rtl w:val="0"/>
              </w:rPr>
              <w:t xml:space="preserve">Tax-deferred reorganization</w:t>
            </w:r>
            <w:r w:rsidDel="00000000" w:rsidR="00000000" w:rsidRPr="00000000">
              <w:rPr>
                <w:sz w:val="18"/>
                <w:szCs w:val="18"/>
                <w:vertAlign w:val="baseline"/>
                <w:rtl w:val="0"/>
              </w:rPr>
              <w:t xml:space="preserve"> (Keystone LLC, taxed as a corporation, merges into a Topkey merger subsidiary)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Tax only on the cash boot ($500K now; the earnout when received). Deferred gain carries into the Topkey shares with a zero basis. No NH BPT (Ben personally exchanges stock). Topkey shares are stock-for-stock, so </w:t>
            </w:r>
            <w:r w:rsidDel="00000000" w:rsidR="00000000" w:rsidRPr="00000000">
              <w:rPr>
                <w:b w:val="1"/>
                <w:bCs w:val="1"/>
                <w:sz w:val="18"/>
                <w:szCs w:val="18"/>
                <w:vertAlign w:val="baseline"/>
                <w:rtl w:val="0"/>
              </w:rPr>
              <w:t xml:space="preserve">no QSBS</w:t>
            </w:r>
            <w:r w:rsidDel="00000000" w:rsidR="00000000" w:rsidRPr="00000000">
              <w:rPr>
                <w:sz w:val="18"/>
                <w:szCs w:val="18"/>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step-up: Topkey inherits ~zero basis in Keystone's assets. After closing Topkey can check-the-box to make Keystone LLC a disregarded entity (tax-free §332 liquidation) so it files one return.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This is what the LOI's "equity portion tax-deferred" sentence promises. </w:t>
            </w:r>
            <w:r w:rsidDel="00000000" w:rsidR="00000000" w:rsidRPr="00000000">
              <w:rPr>
                <w:b w:val="1"/>
                <w:bCs w:val="1"/>
                <w:sz w:val="18"/>
                <w:szCs w:val="18"/>
                <w:vertAlign w:val="baseline"/>
                <w:rtl w:val="0"/>
              </w:rPr>
              <w:t xml:space="preserve">Caution:</w:t>
            </w:r>
            <w:r w:rsidDel="00000000" w:rsidR="00000000" w:rsidRPr="00000000">
              <w:rPr>
                <w:sz w:val="18"/>
                <w:szCs w:val="18"/>
                <w:vertAlign w:val="baseline"/>
                <w:rtl w:val="0"/>
              </w:rPr>
              <w:t xml:space="preserve"> a reverse triangular merger requires at least 80% of the total consideration to be Topkey voting stock; $2.5M of $3.5M including the cash earnout is 71%, so the reorg would have to be a forward triangular or direct merger, or the earnout would have to be paid in shares. Tax counsel must pick the form before the LOI language is finalized.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80" w:before="80" w:lineRule="auto"/>
              <w:rPr>
                <w:b w:val="1"/>
                <w:bCs w:val="1"/>
                <w:sz w:val="18"/>
                <w:szCs w:val="18"/>
                <w:vertAlign w:val="baseline"/>
              </w:rPr>
            </w:pPr>
            <w:r w:rsidDel="00000000" w:rsidR="00000000" w:rsidRPr="00000000">
              <w:rPr>
                <w:b w:val="1"/>
                <w:bCs w:val="1"/>
                <w:sz w:val="18"/>
                <w:szCs w:val="18"/>
                <w:vertAlign w:val="baseline"/>
                <w:rtl w:val="0"/>
              </w:rPr>
              <w:t xml:space="preserve">Taxable purchase of 100% of the LLC interests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Tax on the full $3.0M (plus earnout when received); basis in Topkey shares = fair value. No NH BPT if Ben sells personally.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Treated as an asset purchase (Rev. Rul. 99-6): full step-up, ~$200K a year of deductions.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Contradicts the LOI's tax sentence; only sensible if Ben's closing cash is increased to cover the tax.</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80" w:before="80" w:lineRule="auto"/>
              <w:rPr>
                <w:b w:val="1"/>
                <w:bCs w:val="1"/>
                <w:sz w:val="18"/>
                <w:szCs w:val="18"/>
                <w:vertAlign w:val="baseline"/>
              </w:rPr>
            </w:pPr>
            <w:r w:rsidDel="00000000" w:rsidR="00000000" w:rsidRPr="00000000">
              <w:rPr>
                <w:b w:val="1"/>
                <w:bCs w:val="1"/>
                <w:sz w:val="18"/>
                <w:szCs w:val="18"/>
                <w:vertAlign w:val="baseline"/>
                <w:rtl w:val="0"/>
              </w:rPr>
              <w:t xml:space="preserve">F-reorg, then NewCo sells 100% of the LLC</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Tax on the full $3.0M at NewCo (plus NH BPT ~$225K); QSBS possible on the Topkey shares.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Full step-up.</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Same closing-cash problem as above, plus NH BPT. Only attractive if QSBS is confirmed and Ben values it.</w:t>
            </w:r>
          </w:p>
        </w:tc>
      </w:tr>
    </w:tbl>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Head-to-head tax summary</w:t>
      </w:r>
    </w:p>
    <w:tbl>
      <w:tblPr>
        <w:tblStyle w:val="Table4"/>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Topic</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Partnership 70/30 (F-reorg + 70% sale)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100% Buyout (tax-deferred reorg)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 – tax at closing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~$404–603K on $2.1M of gain (federal + NH BPT at NewCo)</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~$100K on the $500K cash; earnout taxed when paid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 – tax on exit of Topkey shares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Gain over a stepped-up basis; QSBS exclusion possible; NIIT 3.8% applies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Gain over a zero basis (all deferred gain comes due); no QSBS; NIIT applies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 – tax on the retained 30%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Capital gain (with §751 ordinary component) plus NH BPT when sold; NIIT unless still materially participating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 – lifetime after-tax Year-5 value (v3 like-for-like)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~$7.0M; ~$7.5–7.7M with QSBS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~$6.3M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Topkey – basis step-up</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Yes, on the 70% (~$92–140K/yr deductions)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(carryover basis)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Topkey – Keystone income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70% distributive share on Topkey's 1120; offset by NOLs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100% on Topkey's 1120 (disregarded sub); offset by NOLs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Filings added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Form 1065 + K-1s for Keystone LLC; NH BPT/BET at Keystone; possible NH nexus filing for Topkey as a 70% partner; §754 election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None beyond Topkey's own return once Keystone is disregarded; NH BPT/BET for the Keystone operations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Earnout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Cash earnout is boot; installment reporting for Ben; contingent consideration for Topkey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What tax counsel must confirm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F-reorg mechanics; 99-5 treatment; NH BPT on NewCo's gain and on Topkey's step-up (RSA 77-A:4, XIV); QSBS opinion on Topkey; §83 drafting of the repurchase right; Ben's residency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Reorg form given the earnout (80% stock test); §368 continuity; check-the-box after closing; that NH does not tax a personal stock exchange; Ben's residency</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60" w:before="200" w:lineRule="auto"/>
        <w:rPr>
          <w:color w:val="444444"/>
          <w:sz w:val="18"/>
          <w:szCs w:val="18"/>
        </w:rPr>
      </w:pPr>
      <w:r w:rsidDel="00000000" w:rsidR="00000000" w:rsidRPr="00000000">
        <w:rPr>
          <w:color w:val="444444"/>
          <w:sz w:val="18"/>
          <w:szCs w:val="18"/>
          <w:rtl w:val="0"/>
        </w:rPr>
        <w:t xml:space="preserve">The 3.8% net investment income tax does not apply to Ben's gain on Keystone while he materially participates, but does apply to a later sale of Topkey stock. Depreciation recapture and cash-basis receivables (assumed ~$150K) are ordinary income in either taxable route. If Keystone expensed offshore-developed software (Arch, the portal) that should have been amortized under §174, there is an exposure and an ordinary-income effect Topkey inherits under both structures.</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Legal structure after closing</w:t>
      </w:r>
    </w:p>
    <w:tbl>
      <w:tblPr>
        <w:tblStyle w:val="Table5"/>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Element</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Partnership 70/30</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100% Buyout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Entities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Topkey, Inc. (Delaware C-corp) → 70% of Keystone LLC; NewCo (Ben's S-corp holdco) → 30% of Keystone LLC and Ben's Topkey shares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Topkey, Inc. → 100% of Keystone LLC (likely disregarded for tax and possibly merged up over time); Ben holds Topkey shares directly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Governing documents added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Keystone LLC operating agreement (managers, reserved matters, information rights, tax distributions, transfer restrictions, ROFR, tag/drag, put/call, deadlock, related-party approval); Topkey stockholder joinder; employment agreement; restrictive covenants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Purchase/merger agreement; Topkey stockholder joinder; employment agreement; restrictive covenants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Control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Topkey controls the board/manager; Ben has minority consent rights on a short list and day-to-day authority within budget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Topkey owns and controls; Ben's authority is contractual (budget, "keeps control of" list) and enforced mainly through the good-reason clause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Ben's Topkey-level rights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Common holder ~2.4%; observer seat; price protection; repurchase right; tag/drag; information rights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Common holder ~4.0%; same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Brand and tools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Reserved matter unless pre-agreed; recommend "Keystone, a Topkey company" for 24 months and a written migration protocol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Topkey decides, but the LOI's good-reason clause (brand or tools changed without consent) currently gives Ben an economic veto for 36 months – a conflict to resolve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Investor consents needed at Topkey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Seed/SAFE investor consent for issuing shares and, likely, for an acquisition; also for creating a subsidiary with a third-party minority holder. Jon expects Felicis to bless it; the new Felicis partner should be briefed early.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Consent for issuing shares and for the acquisition; Board approval of the earnout liability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Securities</w:t>
            </w:r>
          </w:p>
        </w:tc>
        <w:tc>
          <w:tcPr>
            <w:gridSpan w:val="2"/>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Shares to Ben are a private placement (Rule 506(b)); accredited-investor questionnaire, Form D, restricted stock legends and a disclosure package (financials, cap table, SAFE terms). Topkey must show Ben its financials either way – put them in the investor data room now.</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Offshore team</w:t>
            </w:r>
          </w:p>
        </w:tc>
        <w:tc>
          <w:tcPr>
            <w:gridSpan w:val="2"/>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~80 offshore contractors paid directly through Wise (~$1.5M payroll). Classification risk is inherited in both structures; in the partnership it is shared 70/30 through the LLC, in the buyout it is 100% Topkey's. Either way: special indemnity capped at escrow, and an agreed go-forward model (EOR or continued contractor status with documentation).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Related parties</w:t>
            </w:r>
          </w:p>
        </w:tc>
        <w:tc>
          <w:tcPr>
            <w:gridSpan w:val="2"/>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Ben's recruiting company sources hires for Keystone at no fee; in the partnership this subsidizes Topkey and needs an arm's-length fee or explicit contribution. Any contract with Ben's affiliates is a reserved matter.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IP</w:t>
            </w:r>
          </w:p>
        </w:tc>
        <w:tc>
          <w:tcPr>
            <w:gridSpan w:val="2"/>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Arch, the portal and third-party developer work product must be validly assigned to Keystone (diligence item in both structures). In the partnership, IP developed post-close by Topkey engineers for Keystone needs an ownership/licence rule so it does not become 30% Ben's by default.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Restrictive covenants</w:t>
            </w:r>
          </w:p>
        </w:tc>
        <w:tc>
          <w:tcPr>
            <w:gridSpan w:val="2"/>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Sale-of-business non-compete (3 years / 12 months post-employment, 5-year cap) is customary; confirm NH enforceability and that Ben, working from abroad, is bound under Delaware law with a clear forum clause.</w:t>
            </w:r>
          </w:p>
        </w:tc>
      </w:tr>
    </w:tbl>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Financial reporting consequences (Topkey's books)</w:t>
      </w:r>
    </w:p>
    <w:tbl>
      <w:tblPr>
        <w:tblStyle w:val="Table6"/>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Topic</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Partnership 70/30</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100% Buyout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Consolidation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Topkey consolidates 100% of Keystone (control, ASC 810) and shows a 30% noncontrolling interest in equity and in net income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Full consolidation, no NCI</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Purchase price recorded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Fair value of consideration – note that the Topkey shares are recorded at the fair value of </w:t>
            </w:r>
            <w:r w:rsidDel="00000000" w:rsidR="00000000" w:rsidRPr="00000000">
              <w:rPr>
                <w:i w:val="1"/>
                <w:iCs w:val="1"/>
                <w:sz w:val="18"/>
                <w:szCs w:val="18"/>
                <w:vertAlign w:val="baseline"/>
                <w:rtl w:val="0"/>
              </w:rPr>
              <w:t xml:space="preserve">common</w:t>
            </w:r>
            <w:r w:rsidDel="00000000" w:rsidR="00000000" w:rsidRPr="00000000">
              <w:rPr>
                <w:sz w:val="18"/>
                <w:szCs w:val="18"/>
                <w:vertAlign w:val="baseline"/>
                <w:rtl w:val="0"/>
              </w:rPr>
              <w:t xml:space="preserve"> (409A-based), not the $60M reference, so recorded consideration is well below $2.1M; NCI recorded at fair value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Same principle: $500K cash + fair value of common + fair value of contingent consideration (~$230K at close)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Purchase price allocation</w:t>
            </w:r>
          </w:p>
        </w:tc>
        <w:tc>
          <w:tcPr>
            <w:gridSpan w:val="2"/>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Customer relationships, Arch/portal software, non-compete, workforce (not separately recognized) and goodwill; annual impairment test. Budget for a third-party valuation.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Ongoing P&amp;L noise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NCI share of income; if Ben has a put, the 30% is a </w:t>
            </w:r>
            <w:r w:rsidDel="00000000" w:rsidR="00000000" w:rsidRPr="00000000">
              <w:rPr>
                <w:i w:val="1"/>
                <w:iCs w:val="1"/>
                <w:sz w:val="18"/>
                <w:szCs w:val="18"/>
                <w:vertAlign w:val="baseline"/>
                <w:rtl w:val="0"/>
              </w:rPr>
              <w:t xml:space="preserve">redeemable</w:t>
            </w:r>
            <w:r w:rsidDel="00000000" w:rsidR="00000000" w:rsidRPr="00000000">
              <w:rPr>
                <w:sz w:val="18"/>
                <w:szCs w:val="18"/>
                <w:vertAlign w:val="baseline"/>
                <w:rtl w:val="0"/>
              </w:rPr>
              <w:t xml:space="preserve"> NCI presented outside permanent equity and remeasured to redemption value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Contingent consideration remeasured to fair value each period through operating expense until paid or lapsed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Segment / KPI reporting</w:t>
            </w:r>
          </w:p>
        </w:tc>
        <w:tc>
          <w:tcPr>
            <w:gridSpan w:val="2"/>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Investors will insist on separating software ARR (~$3.1M) from services revenue (~$3.0M) with gross margin by segment. Josh's view is that Keystone's ~50% gross margin (before software) helps Topkey's blended gross margin because fintech margins are lower; net income is still a burn. Build the two-segment P&amp;L into the monthly close from month one.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Intercompany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Keystone's Topkey subscription becomes intercompany: eliminated on consolidation but real for the 70/30 split – document the price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Eliminated; no economic effect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409A</w:t>
            </w:r>
          </w:p>
        </w:tc>
        <w:tc>
          <w:tcPr>
            <w:gridSpan w:val="2"/>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Adding a near-break-even $3M services business, and the $50–60M reference valuation written into the deal documents, are both data points Topkey's 409A appraiser must consider. Expect upward pressure on the $0.17 common value that Jon has worked to keep low for employee options. Get the appraiser's read before signing.</w:t>
            </w:r>
          </w:p>
        </w:tc>
      </w:tr>
    </w:tbl>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The most important section: how each structure plays at the next raise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Jon's stated plan is to take small SAFE checks now (Burkland ~$200K at $60M), avoid a forced process, and raise a "fantastic" Series A in roughly a year if the trajectory holds. Whatever structure is chosen has to be one a Series A lead can diligence in a week and does not have to unwind. The issues below are the ones an investor's counsel will raise.</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Issues common to both structures</w:t>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Price protection is an anti-dilution ratchet and investors will price it.</w:t>
      </w:r>
      <w:r w:rsidDel="00000000" w:rsidR="00000000" w:rsidRPr="00000000">
        <w:rPr>
          <w:rtl w:val="0"/>
        </w:rPr>
        <w:t xml:space="preserve"> As drafted, if any priced round within 36 months is below the $60M reference, Ben is topped up down to a $40M floor. Series A investors will require that (a) the top-up is issued pre-money so it dilutes existing holders, not them, (b) it terminates on the first priced round or a change of control, and (c) it is disclosed in the cap table they price against. If the Series A prices below $60M, the top-up is real dilution to Jon and the seed holders – another reason to set the reference at $50M (the last SAFE) and the floor at $45–50M.</w:t>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Ben's shares are common issued at a preferred-implied price.</w:t>
      </w:r>
      <w:r w:rsidDel="00000000" w:rsidR="00000000" w:rsidRPr="00000000">
        <w:rPr>
          <w:rtl w:val="0"/>
        </w:rPr>
        <w:t xml:space="preserve"> A Series A investor will ask why a services seller got common at a $60M price when the 409A says common is worth a fraction of that; the honest answer is that Ben accepted fewer shares for tax and simplicity. Make sure the share count and the reference are consistent and that Ben's ownership is calculated post-SAFE-conversion (Jon agreed to this on Sept 23).</w:t>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SAFE conversion is not triggered</w:t>
      </w:r>
      <w:r w:rsidDel="00000000" w:rsidR="00000000" w:rsidRPr="00000000">
        <w:rPr>
          <w:rtl w:val="0"/>
        </w:rPr>
        <w:t xml:space="preserve"> by issuing shares for an acquisition, but the SAFEs' terms (valuation caps, MFN, pro-rata) should be checked so the issuance does not trip a "bona fide equity financing" definition. Corey to confirm.</w:t>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Observer seat.</w:t>
      </w:r>
      <w:r w:rsidDel="00000000" w:rsidR="00000000" w:rsidRPr="00000000">
        <w:rPr>
          <w:rtl w:val="0"/>
        </w:rPr>
        <w:t xml:space="preserve"> Investors commonly cap observers; the LOI ties Ben's seat to employment or holding a majority of his shares – acceptable, but expect it to be revisited at the A.</w:t>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Good-reason acceleration tied to brand and tools.</w:t>
      </w:r>
      <w:r w:rsidDel="00000000" w:rsidR="00000000" w:rsidRPr="00000000">
        <w:rPr>
          <w:rtl w:val="0"/>
        </w:rPr>
        <w:t xml:space="preserve"> A lead investor will not want a clause under which the company cannot rebrand or migrate tools without a seller's consent for 36 months. Narrow it now.</w:t>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Contractor classification and SOC 2.</w:t>
      </w:r>
      <w:r w:rsidDel="00000000" w:rsidR="00000000" w:rsidRPr="00000000">
        <w:rPr>
          <w:rtl w:val="0"/>
        </w:rPr>
        <w:t xml:space="preserve"> Topkey is mid-SOC 2 and has a bank audit each year; acquiring an 80-person offshore contractor workforce paid through Wise becomes an investor diligence item. Have the go-forward model decided before the A.</w:t>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QSBS for Topkey's existing holders.</w:t>
      </w:r>
      <w:r w:rsidDel="00000000" w:rsidR="00000000" w:rsidRPr="00000000">
        <w:rPr>
          <w:rtl w:val="0"/>
        </w:rPr>
        <w:t xml:space="preserve"> Founders and early investors may be relying on §1202. An accounting business is an "excluded field"; Topkey must keep at least 80% of its assets in an active qualified business. At $3M against Topkey's assets this should be fine, but get a written read before adding services revenue that could grow to half the company.</w:t>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Investor consents.</w:t>
      </w:r>
      <w:r w:rsidDel="00000000" w:rsidR="00000000" w:rsidRPr="00000000">
        <w:rPr>
          <w:rtl w:val="0"/>
        </w:rPr>
        <w:t xml:space="preserve"> The seed documents almost certainly require preferred consent for share issuances and acquisitions. The Felicis relationship has just changed hands; brief the new partner before, not after, the LOI is signed.</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Series A implications specific to the 100% buyout</w:t>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Cleanest cap table:</w:t>
      </w:r>
      <w:r w:rsidDel="00000000" w:rsidR="00000000" w:rsidRPr="00000000">
        <w:rPr>
          <w:rtl w:val="0"/>
        </w:rPr>
        <w:t xml:space="preserve"> one company, one class of common for Ben, one operating agreement fewer. This is the structure Josh (Burkland) instinctively prefers and the one investors find easiest.</w:t>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earnout is a claim on the round.</w:t>
      </w:r>
      <w:r w:rsidDel="00000000" w:rsidR="00000000" w:rsidRPr="00000000">
        <w:rPr>
          <w:rtl w:val="0"/>
        </w:rPr>
        <w:t xml:space="preserve"> A $500–750K cash payment due in Year 3 will be treated as debt-like in the Series A pricing and may need investor consent to pay. Consider making the earnout payable in Topkey shares at Topkey's election, or dropping it (as the partnership does).</w:t>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Ben's 4.0% common</w:t>
      </w:r>
      <w:r w:rsidDel="00000000" w:rsidR="00000000" w:rsidRPr="00000000">
        <w:rPr>
          <w:rtl w:val="0"/>
        </w:rPr>
        <w:t xml:space="preserve"> is large for a non-founder; investors may want it subject to a standard four-year repurchase schedule and a standard drag. The LOI's 36-month declining repurchase right is close enough.</w:t>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Dilution is Ben's real risk in this structure,</w:t>
      </w:r>
      <w:r w:rsidDel="00000000" w:rsidR="00000000" w:rsidRPr="00000000">
        <w:rPr>
          <w:rtl w:val="0"/>
        </w:rPr>
        <w:t xml:space="preserve"> and the Series A creates it. The model's 5% dilution assumption is light; a Series A of 15–25% plus an option-pool refresh would use up all of Ben's 16-point cushion. If Jon chooses the buyout, he should expect Ben (or his AI-assisted counsel) to ask for pre-emptive rights or anti-dilution at the A – which is exactly what the Series A lead will refuse.</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Series A implications specific to the partnership</w:t>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Minority holders below the cap table are the thing VCs like least.</w:t>
      </w:r>
      <w:r w:rsidDel="00000000" w:rsidR="00000000" w:rsidRPr="00000000">
        <w:rPr>
          <w:rtl w:val="0"/>
        </w:rPr>
        <w:t xml:space="preserve"> Series A preferred buys a share of Topkey, and Topkey owns only 70% of Keystone. The lead will (a) value Keystone at 70% and back out the NCI, (b) require a drag-along on the 30% so a sale of Topkey delivers 100% of Keystone, (c) require that Topkey's call on the 30% be exercisable in Topkey stock at Topkey's election and not be triggered by the financing itself, and (d) ask whether any of Ben's reserved matters could block the company's plan (rebrand, tool migration, platform pricing). If the operating agreement already answers all four, this is a diligence item, not a term-sheet problem.</w:t>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put/call is a future obligation the investor will size.</w:t>
      </w:r>
      <w:r w:rsidDel="00000000" w:rsidR="00000000" w:rsidRPr="00000000">
        <w:rPr>
          <w:rtl w:val="0"/>
        </w:rPr>
        <w:t xml:space="preserve"> At the model's Year-5 value the 30% is ~$4.2M; even at Year 3 it is likely $1.5–2.5M. Paid in cash it consumes round proceeds; paid in stock it is the dilution Jon avoided at closing, taken later at a higher Topkey price. Either way it must be capped by formula and disclosed.</w:t>
      </w:r>
    </w:p>
    <w:p w:rsidR="00000000" w:rsidDel="00000000" w:rsidP="00000000" w:rsidRDefault="00000000" w:rsidRPr="00000000" w14:paraId="0000011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Transfer pricing becomes an investor question.</w:t>
      </w:r>
      <w:r w:rsidDel="00000000" w:rsidR="00000000" w:rsidRPr="00000000">
        <w:rPr>
          <w:rtl w:val="0"/>
        </w:rPr>
        <w:t xml:space="preserve"> Every dollar of Topkey engineering spent on Keystone, every referred client, every intercompany subscription fee moves value between the 70/30 pool and the 100% pool. Investors will ask how Topkey ensures it is not building Keystone's value at their expense. A simple annual services-and-referral schedule approved by both sides answers it.</w:t>
      </w:r>
    </w:p>
    <w:p w:rsidR="00000000" w:rsidDel="00000000" w:rsidP="00000000" w:rsidRDefault="00000000" w:rsidRPr="00000000" w14:paraId="0000011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Two more diligence workstreams:</w:t>
      </w:r>
      <w:r w:rsidDel="00000000" w:rsidR="00000000" w:rsidRPr="00000000">
        <w:rPr>
          <w:rtl w:val="0"/>
        </w:rPr>
        <w:t xml:space="preserve"> the operating agreement and Keystone's partnership tax filings (1065, K-1s, §754), plus NH BPT filings and possibly Topkey's own NH filing as a partner.</w:t>
      </w:r>
    </w:p>
    <w:p w:rsidR="00000000" w:rsidDel="00000000" w:rsidP="00000000" w:rsidRDefault="00000000" w:rsidRPr="00000000" w14:paraId="0000011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QSBS look-through is less certain for a partnership interest</w:t>
      </w:r>
      <w:r w:rsidDel="00000000" w:rsidR="00000000" w:rsidRPr="00000000">
        <w:rPr>
          <w:rtl w:val="0"/>
        </w:rPr>
        <w:t xml:space="preserve"> than for a corporate subsidiary; if Topkey's own QSBS status matters to its holders, counsel should confirm how a 70% LLC interest is treated for the active-business test.</w:t>
      </w:r>
    </w:p>
    <w:p w:rsidR="00000000" w:rsidDel="00000000" w:rsidP="00000000" w:rsidRDefault="00000000" w:rsidRPr="00000000" w14:paraId="0000011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Upside for the round:</w:t>
      </w:r>
      <w:r w:rsidDel="00000000" w:rsidR="00000000" w:rsidRPr="00000000">
        <w:rPr>
          <w:rtl w:val="0"/>
        </w:rPr>
        <w:t xml:space="preserve"> Topkey issues 1.6 points less equity at closing, carries no earnout, and can show a founder-operator with 30% skin in the services business – a credible answer to "who runs the services side?"</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 What we recommend telling Jon</w:t>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Choose the partnership,</w:t>
      </w:r>
      <w:r w:rsidDel="00000000" w:rsidR="00000000" w:rsidRPr="00000000">
        <w:rPr>
          <w:rtl w:val="0"/>
        </w:rPr>
        <w:t xml:space="preserve"> for the economics (better MOIC, IRR and net value per dollar of dilution for Jon; better and more robust outcome for Ben), for funding (no earnout, $150K less cash now), and for fit with what Ben has said he wants.</w:t>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Build the operating agreement as if the Series A lead were reading it:</w:t>
      </w:r>
      <w:r w:rsidDel="00000000" w:rsidR="00000000" w:rsidRPr="00000000">
        <w:rPr>
          <w:rtl w:val="0"/>
        </w:rPr>
        <w:t xml:space="preserve"> Topkey control; a short list of reserved matters; a pre-agreed migration protocol and brand path; a transfer-pricing schedule; mandatory tax distributions; Topkey call (and drag) on the 30% at a formula, payable in stock at Topkey's election; and a term sheet for it attached to the LOI so nothing is re-traded later.</w:t>
      </w:r>
    </w:p>
    <w:p w:rsidR="00000000" w:rsidDel="00000000" w:rsidP="00000000" w:rsidRDefault="00000000" w:rsidRPr="00000000" w14:paraId="000001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Fix the equity terms that will otherwise surface at the A:</w:t>
      </w:r>
      <w:r w:rsidDel="00000000" w:rsidR="00000000" w:rsidRPr="00000000">
        <w:rPr>
          <w:rtl w:val="0"/>
        </w:rPr>
        <w:t xml:space="preserve"> $50M reference, $45–50M floor, protection ends at the first priced round or change of control, ownership computed post-SAFE-conversion, good-reason clause narrowed, repurchase right reworded to avoid §83.</w:t>
      </w:r>
    </w:p>
    <w:p w:rsidR="00000000" w:rsidDel="00000000" w:rsidP="00000000" w:rsidRDefault="00000000" w:rsidRPr="00000000" w14:paraId="000001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Engage tax counsel jointly now,</w:t>
      </w:r>
      <w:r w:rsidDel="00000000" w:rsidR="00000000" w:rsidRPr="00000000">
        <w:rPr>
          <w:rtl w:val="0"/>
        </w:rPr>
        <w:t xml:space="preserve"> with the specific questions in Section 4.3, and get Topkey's 409A appraiser's read before the reference valuation is written into a signed letter.</w:t>
      </w:r>
    </w:p>
    <w:p w:rsidR="00000000" w:rsidDel="00000000" w:rsidP="00000000" w:rsidRDefault="00000000" w:rsidRPr="00000000" w14:paraId="000001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Keep the buyout in the back pocket</w:t>
      </w:r>
      <w:r w:rsidDel="00000000" w:rsidR="00000000" w:rsidRPr="00000000">
        <w:rPr>
          <w:rtl w:val="0"/>
        </w:rPr>
        <w:t xml:space="preserve"> only if Ben insists on tax deferral at closing over everything else – and if so, drop or share-settle the earnout and re-run the model without it so the two options are compared like-for-like.</w:t>
      </w:r>
    </w:p>
    <w:p w:rsidR="00000000" w:rsidDel="00000000" w:rsidP="00000000" w:rsidRDefault="00000000" w:rsidRPr="00000000" w14:paraId="000001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Open diligence items that affect both structures</w:t>
      </w:r>
    </w:p>
    <w:p w:rsidR="00000000" w:rsidDel="00000000" w:rsidP="00000000" w:rsidRDefault="00000000" w:rsidRPr="00000000" w14:paraId="000001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Ben's stock basis and Accumulated Adjustments Account (whether "zero basis" includes 2026 income); S-election acceptance letter; any prior C-corp history or ineligible shareholders.</w:t>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NH apportionment on Keystone's last DP-80 (scales the BPT at closing and on exit).</w:t>
      </w:r>
    </w:p>
    <w:p w:rsidR="00000000" w:rsidDel="00000000" w:rsidP="00000000" w:rsidRDefault="00000000" w:rsidRPr="00000000" w14:paraId="000001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Ben's 2026–27 residency plan (US/NH vs Europe) and where he will physically work.</w:t>
      </w:r>
    </w:p>
    <w:p w:rsidR="00000000" w:rsidDel="00000000" w:rsidP="00000000" w:rsidRDefault="00000000" w:rsidRPr="00000000" w14:paraId="0000012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Arch and portal development costs were treated for tax (§174 foreign research).</w:t>
      </w:r>
    </w:p>
    <w:p w:rsidR="00000000" w:rsidDel="00000000" w:rsidP="00000000" w:rsidRDefault="00000000" w:rsidRPr="00000000" w14:paraId="000001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Assignability of VR Platform (renewed at higher pricing), Karbon (through April 2027), PMI franchise and PMS marketplace referral agreements; any PMS rev-shares Keystone pays.</w:t>
      </w:r>
    </w:p>
    <w:p w:rsidR="00000000" w:rsidDel="00000000" w:rsidP="00000000" w:rsidRDefault="00000000" w:rsidRPr="00000000" w14:paraId="0000012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Working-capital peg with deferred revenue treated as an operating liability; credit card / revolver balances to be cleared at closing.</w:t>
      </w:r>
    </w:p>
    <w:p w:rsidR="00000000" w:rsidDel="00000000" w:rsidP="00000000" w:rsidRDefault="00000000" w:rsidRPr="00000000" w14:paraId="0000012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Employee retention: two of the churn signals Topkey has heard came from difficult clients, but the sale of the SMB book and the accounting-manager departure should be reflected in normalized churn.</w:t>
      </w:r>
    </w:p>
    <w:p w:rsidR="00000000" w:rsidDel="00000000" w:rsidP="00000000" w:rsidRDefault="00000000" w:rsidRPr="00000000" w14:paraId="0000012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Timing: a January 2, 2027 effective date lands in Keystone's 1099 season (January–February); plan the integration calendar so no client-facing change happens before March.</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color w:val="444444"/>
          <w:sz w:val="18"/>
          <w:szCs w:val="18"/>
        </w:rPr>
      </w:pPr>
      <w:r w:rsidDel="00000000" w:rsidR="00000000" w:rsidRPr="00000000">
        <w:rPr>
          <w:color w:val="444444"/>
          <w:sz w:val="18"/>
          <w:szCs w:val="18"/>
          <w:rtl w:val="0"/>
        </w:rPr>
        <w:t xml:space="preserve">Prepared by AMB Advisory Services LLC. This report is deal-structuring analysis and does not constitute legal, tax, securities or accounting advice. All figures are from the current scenario model and the v3 tax estimates on stated assumptions and must be confirmed by the parties' counsel, CPAs and appraisers before being relied on or shared with Keystone.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widowControl w:val="0"/>
        <w:spacing w:line="32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60"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