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Keystone Partnership – Series A Decision Options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 for each fundraising-related term in LOI v12 / Offer v14, so we can pick what is fair to both Ben and Topkey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Prepared by AMB Advisory Services LLC for Jon Sukhia / Topkey | September 24, 2026 | Confidential – internal to Topkey and its advisors; not for Ben or Keystone.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Source: Section 7 of "Keystone Offer Structures Compared" (same folder). Each decision below lists the realistic options, what each means for Ben and for Topkey and its Series A investors, and our suggested pick. The LOI v12 and Offer v14 drafts use the suggested pick as the default, with the alternatives shown in [brackets] where it helps. Where we mark an option as the "fair middle", it is the one we think Ben's advisors and a Series A lead would both accept without a fight.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lineRule="auto"/>
        <w:rPr>
          <w:color w:val="444444"/>
          <w:sz w:val="18"/>
          <w:szCs w:val="18"/>
        </w:r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Structuring guidance only – not legal, tax or accounting advice. Items marked with Corey, tax counsel or the 409A appraiser need their sign-off before the letter goes to Ben.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Summary – decisions and suggested picks</w:t>
      </w:r>
    </w:p>
    <w:tbl>
      <w:tblPr>
        <w:tblStyle w:val="Table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Decision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Where in the drafts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Suggested pick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Reference Valuation (sets Ben's share count)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3(b)(i); Offer "Ownership"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$60M if the new SAFE has closed; otherwise $50M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Downside protection mechanism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3(b)(iii)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Parity with SAFE holders, one-time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Floor on that protection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3(b)(iii)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floor at $50M; $45M floor at $60M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Ben's participation in future rounds / liquidity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3(b)(v)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pro rata; pro rata secondary participation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Board observer seat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3(b)(vi)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While employed; lead investor approval after the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Joining future financing documents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3(b)(v)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Signs amended documents on the same terms as the founders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Good Reason definition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3(b)(iv)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Narrowed (no brand/tools) – already done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Offshore team compliance model and timing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7(d)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EOR for client leads and managers; done before the Series A; cost borne by Keystone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Drag-along price on a sale of Topkey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4(c)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Formula Price plus call premium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Put/call structure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4(d)–(e)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Call years 3–5; put in year 5 plus good-leaver triggers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Put/call payment form and cash cap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4(g)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vertAlign w:val="baseline"/>
                <w:rtl w:val="0"/>
              </w:rPr>
              <w:t xml:space="preserve">Topkey election, ≥30% cash, annual cash cap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Formula Price multiples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4(f)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1.5x revenue / 6.0x EBITDA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Scope of Ben's consent rights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4(h), 6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Current list, not unreasonably withheld, cannot block the agreed plan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Intercompany pricing and IP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LOI 7(b)–(c)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Current pricing; free engineering, Topkey owns IP; 5% first-year referral fee</w:t>
            </w:r>
          </w:p>
        </w:tc>
      </w:tr>
    </w:tbl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>
          <w:color w:val="444444"/>
          <w:sz w:val="18"/>
          <w:szCs w:val="18"/>
        </w:r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★ in the tables below marks the suggested pick (shaded).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Reference Valuation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3(b)(i); Offer v14 "Topkey Equity" and "Ownership".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Ben receives common stock priced off a preferred/SAFE valuation. A lead will ask whether the number is backed by a closed document and whether it ties to Ben's share count.</w:t>
      </w:r>
    </w:p>
    <w:tbl>
      <w:tblPr>
        <w:tblStyle w:val="Table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A. $60M, only if the new SAFE closes before signing; otherwise $50M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Ben is priced at the most recent closed SAFE, whichever it is.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Fair: same price as Topkey's latest investor. ~2.4% at $60M, ~2.8% at $50M.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Fully defensible: a closed document supports whichever number is used.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B. $50M regardless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Use the last completed SAFE even if the $60M SAFE closes.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More shares (~2.8%); strongest protection against the "common at a preferred price" argument.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~0.4 points more dilution for Jon; easiest to defend to a lead.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$55M midpoint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Split the difference.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~2.6%; looks like a negotiated compromise.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document supports $55M; harder to explain at the 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Issue at $50M, true up to next round price within a $45–60M collar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Share count adjusts once at the Series A.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Protected both ways within the collar.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Another adjustment mechanism for the lead to diligence; overlaps with parity (Decision 2).</w:t>
            </w:r>
          </w:p>
        </w:tc>
      </w:tr>
    </w:tbl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A. It is the most honest answer: Ben gets exactly what the latest investor paid. It also matches the parity mechanism, which needs a real SAFE cap to reference.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Downside protection mechanism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3(b)(iii); Offer v14 "Equity Parity".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Any protection is anti-dilution the lead will price. It must dilute existing holders, not the new investors; end at the first priced round; and be visible on the cap table.</w:t>
      </w:r>
    </w:p>
    <w:tbl>
      <w:tblPr>
        <w:tblStyle w:val="Table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A. Parity with SAFE holders, one-time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At the next financing Ben's common is exchanged into the SAFE-conversion preferred at the Reference Valuation cap. Treated as outstanding pre-money; ends at that round, a change of control or month 36.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Same protection as Topkey's own investors, including a 1x preference. Closing tax likely higher (shares value closer to preferred).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Familiar to a lead because the SAFEs already work this way; one more holder converting on existing terms. Cleanly ends at the 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B. Limited price-protection ratchet on common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Ben stays common; if the next priced round is below the reference, he gets top-up common down to a floor. Ends at that round.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Protects the share count but not the preference; closing tax lower.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 bespoke ratchet the lead will want pre-money; slightly more unusual than 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No protection; lower reference ($50M)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Plain common, priced at the last closed SAFE.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Simplest; lowest closing tax; full downside risk.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Cleanest cap table; Ben's advisors will likely push back.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Issue preferred now (new Series Seed-2)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Ben receives preferred at closing.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Strongest protection; highest closing tax value.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Charter amendment and seed-investor consent before closing; the lead inherits terms it did not set.</w:t>
            </w:r>
          </w:p>
        </w:tc>
      </w:tr>
    </w:tbl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A, which is what v12 drafts. Confirm with tax counsel and the 409A appraiser what it does to Ben's closing tax before the letter goes out; if the tax cost is too high for Ben, fall back to B.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Floor on the protection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3(b)(iii) "[subject to a minimum pre-money valuation of [$45 million]]".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A floor limits how much dilution Jon and the seed holders can suffer if the Series A prices low.</w:t>
      </w:r>
    </w:p>
    <w:tbl>
      <w:tblPr>
        <w:tblStyle w:val="Table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A. No floor if the reference is $50M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Ben converts exactly like the $50M SAFE holders.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True parity – easy to explain as "same as our investors".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Maximum dilution if the A prices well below $50M, but identical to what the SAFEs already cost.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B. $45M floor if the reference is $60M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Protection stops at a $45M pre-money.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Protected for a 25% down round; bears the rest.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Caps the ratchet; looks reasonable next to a $60M reference.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$40M floor (v10 draft)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Protection down to $40M.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More protection.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Bigger potential dilution to Jon.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$50M floor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Protection only between $60M and $50M.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Little real protection.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Lowest cost; Ben's advisors may see it as cosmetic.</w:t>
            </w:r>
          </w:p>
        </w:tc>
      </w:tr>
    </w:tbl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Tie it to Decision 1: no floor if the reference is $50M; $45M if it is $60M.</w:t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Ben's participation in future rounds / liquidity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3(b)(v) "[Ben may participate … in any secondary sale …]".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Leads refuse pre-emptive or anti-dilution rights for non-investors. But 93% of Ben's Year-5 value is illiquid, so some liquidity path is fair.</w:t>
      </w:r>
    </w:p>
    <w:tbl>
      <w:tblPr>
        <w:tblStyle w:val="Table5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A. None – dilutes like everyone else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pro rata, no secondary rights.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liquidity until an exit or the put.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Cleanest.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B. Pro rata right in the next financing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Ben may buy his pro rata share of the Series A.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Can protect his percentage if he has the cash.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Leads usually refuse pro rata for small common holders.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C. Pro rata participation in secondaries offered to common holders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If Topkey organises a secondary for common holders, Ben can sell his proportionate share.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 real liquidity path, on the same terms as Jon and employees.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Costs Topkey nothing; the lead controls whether a secondary happens at all.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Guaranteed secondary of [10–20]% of his shares at the 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Ben sells a fixed slice in the round.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Certain early liquidity.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Uses round proceeds; the lead may object.</w:t>
            </w:r>
          </w:p>
        </w:tc>
      </w:tr>
    </w:tbl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C (drafted in v12, in brackets). Offer D only if Ben pushes hard on liquidity, and cap it at 10%.</w:t>
      </w:r>
    </w:p>
    <w:p w:rsidR="00000000" w:rsidDel="00000000" w:rsidP="00000000" w:rsidRDefault="00000000" w:rsidRPr="00000000" w14:paraId="000000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Board observer seat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3(b)(vi).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Leads commonly limit observers and want to control who sits in the room after their round.</w:t>
      </w:r>
    </w:p>
    <w:tbl>
      <w:tblPr>
        <w:tblStyle w:val="Table6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A. Observer while employed (v11)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change at the A.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Keeps visibility.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 lead may ask to renegotiate.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B. While employed; after the first priced round, subject to the lead's approval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Seat continues unless the lead objects.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Keeps the seat through the most important period; honest about the A.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Gives the lead the control it expects.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No observer; quarterly CEO business review plus information rights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Replace the seat with a standing meeting.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Less formal visibility.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Cleanest for the 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Observer while employed, excluded from Keystone, Ben-employment and financing discussions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Seat with a broader conflict carve-out.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Keeps the seat.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Addresses conflicts; the lead may still want a say.</w:t>
            </w:r>
          </w:p>
        </w:tc>
      </w:tr>
    </w:tbl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B, with D's conflict carve-out (both drafted in v12).</w:t>
      </w:r>
    </w:p>
    <w:p w:rsidR="00000000" w:rsidDel="00000000" w:rsidP="00000000" w:rsidRDefault="00000000" w:rsidRPr="00000000" w14:paraId="000000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Joining future financing documents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3(b)(v).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Every Series A requires common holders to sign the amended voting, ROFR/co-sale and drag-along agreements. A holder who can refuse is a closing risk.</w:t>
      </w:r>
    </w:p>
    <w:tbl>
      <w:tblPr>
        <w:tblStyle w:val="Table7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A. Ben signs amended documents on the same terms as the founders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Joinder now, and he signs future versions that apply equally to Jon and other common holders.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Protected by the "same terms as founders" condition.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Removes a closing risk at the 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B. Joins today's documents only; new documents need his consent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He can negotiate at each round.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Maximum say.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 lead will treat this as a hold-out risk.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Same as A, plus Topkey will not ask him to accept terms worse than Jon's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Explicit most-favoured-nation against the founders.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Strongest version of A.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Acceptable; slightly more drafting.</w:t>
            </w:r>
          </w:p>
        </w:tc>
      </w:tr>
    </w:tbl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A (drafted). C is fine if Ben asks.</w:t>
      </w:r>
    </w:p>
    <w:p w:rsidR="00000000" w:rsidDel="00000000" w:rsidP="00000000" w:rsidRDefault="00000000" w:rsidRPr="00000000" w14:paraId="000000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Good Reason definition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3(b)(iv).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A lead will not accept a seller-held veto (through full acceleration) over rebranding or migrating tools.</w:t>
      </w:r>
    </w:p>
    <w:tbl>
      <w:tblPr>
        <w:tblStyle w:val="Table8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A. Narrowed: title, role, reporting line, base salary or budget authority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Brand and tools are handled by the brand path and Migration Protocol instead.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Protected on the things that define his job.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Resolves the issue.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B. As A, plus a brand change within 24 months without consent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Adds the brand path as a trigger.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 little more protection.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Mostly acceptable; the brand path already covers this.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v10 wording (brand and tools included)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Any brand or tool change without consent = full acceleration.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Strongest.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Not recommended – the lead will ask for it to be removed.</w:t>
            </w:r>
          </w:p>
        </w:tc>
      </w:tr>
    </w:tbl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A (done in v11/v12). No further change needed.</w:t>
      </w:r>
    </w:p>
    <w:p w:rsidR="00000000" w:rsidDel="00000000" w:rsidP="00000000" w:rsidRDefault="00000000" w:rsidRPr="00000000" w14:paraId="000000E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Offshore team compliance model and timing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7(d); Offer v14 "Offshore team".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Topkey is mid-SOC 2 and has an annual bank audit; an 80-person contractor workforce paid through Wise will be a diligence item at the A.</w:t>
      </w:r>
    </w:p>
    <w:tbl>
      <w:tblPr>
        <w:tblStyle w:val="Table9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A. Keep contractors, with full documentation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Local-counsel opinion, updated contracts, IP assignments.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change for the team; lowest cost.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Least comfort for a lead.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B. EOR for client leads and accounting staff; bookkeepers stay documented contractors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Moves the client-facing layer first.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Moderate cost; protects the team members clients rely 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Good diligence answer at a manageable cost.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Full EOR within 12 months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Everyone moves to an employer of record.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Highest cost (EOR fees and benefits); team may take a pay adjustment, as Ben said.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Cleanest answer.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Decide after diligence, but finish before the A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Defer the choice.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Flexible.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Leaves the question open during the deal.</w:t>
            </w:r>
          </w:p>
        </w:tc>
      </w:tr>
    </w:tbl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B, completed before Topkey's next priced round, with costs borne by Keystone (so shared 70/30). If Topkey insists on C, Topkey should bear the incremental cost.</w:t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Drag-along price on a sale of Topkey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4(c); Offer v14 "Transfers".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A buyer of Topkey must be able to get 100% of Keystone, at a price known in advance.</w:t>
      </w:r>
    </w:p>
    <w:tbl>
      <w:tblPr>
        <w:tblStyle w:val="Table10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A. Formula Price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Same formula as the put/call.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Predictable, but may be below what a buyer implicitly pays for Keystone.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Most certain for a buyer.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B. Formula Price plus the call premium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Same as Topkey's call price.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 modest premium for being forced out.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Still formula-based and certain.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Greater of Formula Price and the value attributed to Keystone in the deal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Ben shares in any premium a buyer pays for Keystone.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Fairest in a strong exit.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Requires an allocation of deal value; a buyer may resist.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Independent appraisal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Fair value at the time.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Neutral.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Uncertain; slows a sale.</w:t>
            </w:r>
          </w:p>
        </w:tc>
      </w:tr>
    </w:tbl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B. Offer C as a concession only if Ben argues the formula undervalues Keystone in a sale.</w:t>
      </w:r>
    </w:p>
    <w:p w:rsidR="00000000" w:rsidDel="00000000" w:rsidP="00000000" w:rsidRDefault="00000000" w:rsidRPr="00000000" w14:paraId="000001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 Put/call structure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4(d)–(e).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A put makes the 30% a redeemable interest on Topkey's balance sheet and a future claim the lead will size. A call gives Topkey a clear path to 100%.</w:t>
      </w:r>
    </w:p>
    <w:tbl>
      <w:tblPr>
        <w:tblStyle w:val="Table11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A. Call years 3–5; put years 4–5 plus good-leaver triggers (v11)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Mutual rights; Topkey's window opens first.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Guaranteed exit from year 4.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 put exists from year 4; must be capped and share-settleable.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B. Call years 3–5; put year 5 only, plus good-leaver triggers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Ben's put opens later.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Guaranteed exit, one year later.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Topkey has two full years to call first; smaller redeemable exposure.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Call only, plus drag; Ben has a put only on termination without cause, death or disability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general put.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guaranteed exit if Topkey never calls.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Cleanest for the A; Ben's advisors will push back.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Mutual, settled in Topkey stock only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cash obligation.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Liquidity depends on Topkey stock; tax without cash.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cash claim on the round, but more dilution later.</w:t>
            </w:r>
          </w:p>
        </w:tc>
      </w:tr>
    </w:tbl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B (drafted in v12). It keeps a fair exit for Ben while giving Topkey a clear first move.</w:t>
      </w:r>
    </w:p>
    <w:p w:rsidR="00000000" w:rsidDel="00000000" w:rsidP="00000000" w:rsidRDefault="00000000" w:rsidRPr="00000000" w14:paraId="000001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11. Put/call payment form and cash cap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4(g); Offer v14 "Payment".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Cash consumes round proceeds; stock is dilution taken later. A lead wants the obligation capped.</w:t>
      </w:r>
    </w:p>
    <w:tbl>
      <w:tblPr>
        <w:tblStyle w:val="Table12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A. Topkey's election, at least 30% cash (v11)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Mix chosen by Topkey.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Enough cash to cover tax on the sale.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Flexible; no cap on a large payment.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B. As A, plus a cap on cash payable in any 12 months, balance in up to 3 annual instalments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Spreads the cash.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Still gets tax cash up front; the rest over time with interest.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Predictable, capped cash claim.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100% stock at Topkey's election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cash.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Taxable without cash – likely unacceptable.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Best for cash; worst for Ben.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Cash in instalments only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No stock.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Certain value.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Largest cash claim.</w:t>
            </w:r>
          </w:p>
        </w:tc>
      </w:tr>
    </w:tbl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B (drafted in v12). Set the annual cap around the expected tax on a Year-3 sale (about $0.5–0.7M).</w:t>
      </w:r>
    </w:p>
    <w:p w:rsidR="00000000" w:rsidDel="00000000" w:rsidP="00000000" w:rsidRDefault="00000000" w:rsidRPr="00000000" w14:paraId="000001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12. Formula Price multiples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4(f).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The formula decides how much of Keystone's growth Ben keeps versus Topkey. A lead mainly needs it fixed and disclosed.</w:t>
      </w:r>
    </w:p>
    <w:tbl>
      <w:tblPr>
        <w:tblStyle w:val="Table13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A. 1.25x revenue / 6.0x EBITDA (Report 1)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Lower price.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~$2.0M at Year 3; ~$2.6M at Year 5 (vs the model's $4.2M).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Cheapest for Topkey.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B. 1.5x revenue / 6.0x EBITDA (v11/v12)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Middle.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~$2.4M at Year 3; ~$3.1M at Year 5.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Still well below the model's 2.0x.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2.0x revenue (model's re-rate)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Ben shares the software re-rate.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~$4.2M at Year 5.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Pays Ben for value arguably created by Topkey.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Appraised fair value, with the formula as a floor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Market value at the time.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Fairest in principle.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Uncertain amount; slower.</w:t>
            </w:r>
          </w:p>
        </w:tc>
      </w:tr>
    </w:tbl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B. It gives Ben part of the re-rate without paying him for Topkey's contribution.</w:t>
      </w:r>
    </w:p>
    <w:p w:rsidR="00000000" w:rsidDel="00000000" w:rsidP="00000000" w:rsidRDefault="00000000" w:rsidRPr="00000000" w14:paraId="000001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13. Scope of Ben's consent rights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4(h) and the note under the Section 6 table; Exhibit A "Consent rights".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A lead will ask whether any of Ben's rights can block the company's plan (rebrand, migration, platform pricing).</w:t>
      </w:r>
    </w:p>
    <w:tbl>
      <w:tblPr>
        <w:tblStyle w:val="Table14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A. Current list; not unreasonably withheld; not needed for actions within the budget, Migration Protocol, brand path or Services Schedule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Consent protects value but cannot block the agreed plan.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Real protection against unfair treatment.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Answers the lead's question without removing Ben's protections.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B. Economic-only list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Only non-pro-rata distributions, new Keystone equity, related-party deals with Topkey, adverse amendments, dissolution.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Narrower, but covers the main ways a minority holder gets hurt.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Cleanest for the 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C. Current list, sunsetting at the first priced round or after 24 months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Protection during integration only.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Protected when it matters most.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Clean by the time of the 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D. Current list; Topkey casting vote after mediation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Deadlock always resolves in Topkey's favour.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Protection is procedural only.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Strong for Topkey; Ben's advisors will resist.</w:t>
            </w:r>
          </w:p>
        </w:tc>
      </w:tr>
    </w:tbl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A (drafted in v12). Fall back to B if the lead objects.</w:t>
      </w:r>
    </w:p>
    <w:p w:rsidR="00000000" w:rsidDel="00000000" w:rsidP="00000000" w:rsidRDefault="00000000" w:rsidRPr="00000000" w14:paraId="000001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14. Intercompany pricing and IP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LOI 7(b)–(c); Exhibit A "Services Schedule"; Offer v14 "Intercompany &amp; IP".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 A issue:</w:t>
      </w:r>
      <w:r w:rsidDel="00000000" w:rsidR="00000000" w:rsidRPr="00000000">
        <w:rPr>
          <w:rtl w:val="0"/>
        </w:rPr>
        <w:t xml:space="preserve"> A lead will ask how Topkey ensures it is not building Keystone's value (30% Ben's) at its investors' expense.</w:t>
      </w:r>
    </w:p>
    <w:tbl>
      <w:tblPr>
        <w:tblStyle w:val="Table15"/>
        <w:tblW w:w="9360.0" w:type="dxa"/>
        <w:jc w:val="left"/>
        <w:tblBorders>
          <w:top w:color="999999" w:space="0" w:sz="6" w:val="single"/>
          <w:left w:color="999999" w:space="0" w:sz="6" w:val="single"/>
          <w:bottom w:color="999999" w:space="0" w:sz="6" w:val="single"/>
          <w:right w:color="999999" w:space="0" w:sz="6" w:val="single"/>
          <w:insideH w:color="999999" w:space="0" w:sz="6" w:val="single"/>
          <w:insideV w:color="999999" w:space="0" w:sz="6" w:val="single"/>
        </w:tblBorders>
        <w:tblLayout w:type="fixed"/>
        <w:tblLook w:val="0600"/>
      </w:tblPr>
      <w:tblGrid>
        <w:gridCol w:w="1872"/>
        <w:gridCol w:w="2620.7999999999997"/>
        <w:gridCol w:w="2433.6000000000004"/>
        <w:gridCol w:w="2433.6000000000004"/>
        <w:tblGridChange w:id="0">
          <w:tblGrid>
            <w:gridCol w:w="1872"/>
            <w:gridCol w:w="2620.7999999999997"/>
            <w:gridCol w:w="2433.6000000000004"/>
            <w:gridCol w:w="2433.60000000000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Option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it means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Ben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8ed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For Topkey / Series 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14a. Topkey products used by Keystone: current pricing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What Keystone pays today.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No change.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Preserves today's economics; simple.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14a alt. Standard partner pricing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Topkey's partner rate card.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Could be higher or lower.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Arm's-length; easy to defend.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14b. Topkey engineering: no charge; Topkey owns the software and licenses it to Keystone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Topkey funds the build and keeps the IP.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Gets the tools free.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IP stays at the 100%-owned level – the key point for investors.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14b alt. Cost plus [10–15]%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Keystone pays for engineering.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Pays 30% of the cost indirectly.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Arm's-length, but more accounting.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★ 14c. Referred clients: 5% of first-year revenue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Mirrors Keystone's own sales commission.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A small, familiar cost.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ef6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shd w:fill="auto" w:val="clear"/>
                <w:vertAlign w:val="baseline"/>
                <w:rtl w:val="0"/>
              </w:rPr>
              <w:t xml:space="preserve">Recognises Topkey's contribution to Keystone's growth.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14c alt. No referral fee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Referrals are part of the partnership.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Better for Ben.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Topkey gets nothing extra for driving 25% of growth.</w:t>
            </w:r>
          </w:p>
        </w:tc>
      </w:tr>
    </w:tbl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pick:</w:t>
      </w:r>
      <w:r w:rsidDel="00000000" w:rsidR="00000000" w:rsidRPr="00000000">
        <w:rPr>
          <w:rtl w:val="0"/>
        </w:rPr>
        <w:t xml:space="preserve"> Current pricing; free engineering with Topkey owning the IP; a 5% first-year referral fee.</w:t>
      </w:r>
    </w:p>
    <w:p w:rsidR="00000000" w:rsidDel="00000000" w:rsidP="00000000" w:rsidRDefault="00000000" w:rsidRPr="00000000" w14:paraId="000001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No choice needed – actions to complete before the LOI goes to Ben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Corey: confirm the issuance does not trigger SAFE conversion, MFN or pro rata rights, and list the investor consents needed (now a closing condition, LOI 8(c)).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Jon: brief the new Felicis partner and YC before the LOI is signed.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Tax counsel: confirm the effect of parity (Decision 2) on Ben's closing tax, and QSBS for Topkey's existing holders given a 70% LLC interest in a services business.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409A appraiser: indicative value of Ben's shares with and without parity, and the effect of the deal on Topkey's common price.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Josh: model the put/call as a redeemable interest and set the annual cash cap (Decision 11).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Frank: re-run the model with 15–25% Series A dilution and the chosen Formula Price.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Drafting already done in v12: Topkey may hold the 70% through a wholly owned subsidiary; no Topkey financing triggers the put or counts as a change of control.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444444"/>
          <w:sz w:val="18"/>
          <w:szCs w:val="18"/>
        </w:r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Prepared by AMB Advisory Services LLC. Structuring guidance only; figures are estimates from the current scenario model and must be confirmed by counsel, tax advisors and the 409A appraiser.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>
        <w:widowControl w:val="0"/>
        <w:spacing w:line="32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34"/>
      <w:szCs w:val="3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20" w:lineRule="auto"/>
    </w:pPr>
    <w:rPr>
      <w:b w:val="1"/>
      <w:bCs w:val="1"/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