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highlight w:val="yellow"/>
        </w:rPr>
        <w:t xml:space="preserve">[September 30, 2026]</w:t>
      </w:r>
    </w:p>
    <w:p>
      <w:pPr>
        <w:spacing w:after="140" w:before="280"/>
      </w:pPr>
      <w:r>
        <w:rPr>
          <w:b/>
          <w:bCs/>
          <w:color w:val="7A0000"/>
          <w:sz w:val="24"/>
          <w:szCs w:val="24"/>
          <w:u w:val="single"/>
        </w:rPr>
        <w:t xml:space="preserve">Confidential Letter of Intent</w:t>
      </w:r>
    </w:p>
    <w:p>
      <w:pPr>
        <w:spacing w:after="160" w:line="264" w:lineRule="auto"/>
        <w:jc w:val="both"/>
      </w:pPr>
      <w:r>
        <w:t xml:space="preserve">Dear Ben:</w:t>
      </w:r>
    </w:p>
    <w:p>
      <w:pPr>
        <w:spacing w:after="160" w:line="264" w:lineRule="auto"/>
        <w:jc w:val="both"/>
      </w:pPr>
      <w:r>
        <w:t xml:space="preserve">We are pleased to send you this letter of intent regarding a potential transaction with Keystone Bookkeepers (</w:t>
      </w:r>
      <w:r>
        <w:t xml:space="preserve">“Keystone”</w:t>
      </w:r>
      <w:r>
        <w:t xml:space="preserve">). </w:t>
      </w:r>
      <w:r>
        <w:rPr>
          <w:b/>
          <w:bCs/>
        </w:rPr>
        <w:t xml:space="preserve">Our current proposal values Keystone at $3.0 million.</w:t>
      </w:r>
    </w:p>
    <w:p>
      <w:pPr>
        <w:spacing w:after="160" w:line="264" w:lineRule="auto"/>
        <w:jc w:val="both"/>
      </w:pPr>
      <w:r>
        <w:t xml:space="preserve">We are excited about the prospect of partnering with you and building on what you have created.</w:t>
      </w:r>
    </w:p>
    <w:p>
      <w:pPr>
        <w:spacing w:after="140" w:before="280"/>
      </w:pPr>
      <w:r>
        <w:rPr>
          <w:b/>
          <w:bCs/>
          <w:color w:val="7A0000"/>
          <w:sz w:val="24"/>
          <w:szCs w:val="24"/>
          <w:u w:val="single"/>
        </w:rPr>
        <w:t xml:space="preserve">Background on Topkey</w:t>
      </w:r>
    </w:p>
    <w:p>
      <w:pPr>
        <w:spacing w:after="160" w:line="264" w:lineRule="auto"/>
        <w:jc w:val="both"/>
      </w:pPr>
      <w:r>
        <w:rPr>
          <w:highlight w:val="yellow"/>
        </w:rPr>
        <w:t xml:space="preserve">[Topkey to supply a short background section here — who we are, how we are funded, our </w:t>
      </w:r>
      <w:r>
        <w:rPr>
          <w:highlight w:val="yellow"/>
        </w:rPr>
        <w:t xml:space="preserve">operating philosophy, and why Keystone is a fit. The paragraphs below are a placeholder drafted </w:t>
      </w:r>
      <w:r>
        <w:rPr>
          <w:highlight w:val="yellow"/>
        </w:rPr>
        <w:t xml:space="preserve">from what is already reflected in the offer materials and should be reviewed and expanded.]</w:t>
      </w:r>
    </w:p>
    <w:p>
      <w:pPr>
        <w:spacing w:after="160" w:line="264" w:lineRule="auto"/>
        <w:jc w:val="both"/>
      </w:pPr>
      <w:r>
        <w:rPr>
          <w:highlight w:val="yellow"/>
        </w:rPr>
        <w:t xml:space="preserve">Topkey is a technology company serving the short-term rental and property management market. We </w:t>
      </w:r>
      <w:r>
        <w:rPr>
          <w:highlight w:val="yellow"/>
        </w:rPr>
        <w:t xml:space="preserve">bring an in-house engineering team, a banking and payments platform, and capital to the </w:t>
      </w:r>
      <w:r>
        <w:rPr>
          <w:highlight w:val="yellow"/>
        </w:rPr>
        <w:t xml:space="preserve">partnership. Our most recent financing valued Topkey at a post-money valuation of $50 million.</w:t>
      </w:r>
    </w:p>
    <w:p>
      <w:pPr>
        <w:spacing w:after="160" w:line="264" w:lineRule="auto"/>
        <w:jc w:val="both"/>
      </w:pPr>
      <w:r>
        <w:rPr>
          <w:highlight w:val="yellow"/>
        </w:rPr>
        <w:t xml:space="preserve">We are buying Keystone to grow it, not to cut it. Our role is to add engineering, capital and </w:t>
      </w:r>
      <w:r>
        <w:rPr>
          <w:highlight w:val="yellow"/>
        </w:rPr>
        <w:t xml:space="preserve">thought partnership; Ben continues to run the business day to day. We intend to hold and build </w:t>
      </w:r>
      <w:r>
        <w:rPr>
          <w:highlight w:val="yellow"/>
        </w:rPr>
        <w:t xml:space="preserve">Keystone for the long term.</w:t>
      </w:r>
    </w:p>
    <w:p>
      <w:pPr>
        <w:spacing w:after="140" w:before="280"/>
      </w:pPr>
      <w:r>
        <w:rPr>
          <w:b/>
          <w:bCs/>
          <w:color w:val="7A0000"/>
          <w:sz w:val="24"/>
          <w:szCs w:val="24"/>
          <w:u w:val="single"/>
        </w:rPr>
        <w:t xml:space="preserve">A summary of the offer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00"/>
        <w:gridCol w:w="3680"/>
      </w:tblGrid>
      <w:tr>
        <w:tc>
          <w:tcPr>
            <w:tcW w:type="dxa" w:w="210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Components</w:t>
            </w:r>
          </w:p>
        </w:tc>
        <w:tc>
          <w:tcPr>
            <w:tcW w:type="dxa" w:w="170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Amount</w:t>
            </w:r>
          </w:p>
        </w:tc>
        <w:tc>
          <w:tcPr>
            <w:tcW w:type="dxa" w:w="260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When it will be paid</w:t>
            </w:r>
          </w:p>
        </w:tc>
        <w:tc>
          <w:tcPr>
            <w:tcW w:type="dxa" w:w="368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How it's calculated</w:t>
            </w:r>
          </w:p>
        </w:tc>
      </w:tr>
      <w:tr>
        <w:tc>
          <w:tcPr>
            <w:tcW w:type="dxa" w:w="21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Cash</w:t>
            </w:r>
          </w:p>
        </w:tc>
        <w:tc>
          <w:tcPr>
            <w:tcW w:type="dxa" w:w="17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$500,000</w:t>
            </w:r>
          </w:p>
        </w:tc>
        <w:tc>
          <w:tcPr>
            <w:tcW w:type="dxa" w:w="26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At close</w:t>
            </w:r>
          </w:p>
        </w:tc>
        <w:tc>
          <w:tcPr>
            <w:tcW w:type="dxa" w:w="36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17% of Total Valuation</w:t>
            </w:r>
          </w:p>
        </w:tc>
      </w:tr>
      <w:tr>
        <w:tc>
          <w:tcPr>
            <w:tcW w:type="dxa" w:w="21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Topkey Equity</w:t>
            </w:r>
          </w:p>
        </w:tc>
        <w:tc>
          <w:tcPr>
            <w:tcW w:type="dxa" w:w="17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$2,500,000</w:t>
            </w:r>
          </w:p>
        </w:tc>
        <w:tc>
          <w:tcPr>
            <w:tcW w:type="dxa" w:w="260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Issued in full at close</w:t>
            </w:r>
          </w:p>
        </w:tc>
        <w:tc>
          <w:tcPr>
            <w:tcW w:type="dxa" w:w="36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83% of Total Valuation</w:t>
            </w:r>
          </w:p>
        </w:tc>
      </w:tr>
      <w:tr>
        <w:tc>
          <w:tcPr>
            <w:tcW w:type="dxa" w:w="21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sz w:val="20"/>
                <w:szCs w:val="20"/>
              </w:rPr>
              <w:t xml:space="preserve">Total</w:t>
            </w:r>
          </w:p>
        </w:tc>
        <w:tc>
          <w:tcPr>
            <w:tcW w:type="dxa" w:w="1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sz w:val="20"/>
                <w:szCs w:val="20"/>
              </w:rPr>
              <w:t xml:space="preserve">$3,000,000</w:t>
            </w:r>
          </w:p>
        </w:tc>
        <w:tc>
          <w:tcPr>
            <w:tcW w:type="dxa" w:w="26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sz w:val="20"/>
                <w:szCs w:val="20"/>
              </w:rPr>
              <w:t xml:space="preserve"/>
            </w:r>
          </w:p>
        </w:tc>
        <w:tc>
          <w:tcPr>
            <w:tcW w:type="dxa" w:w="368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sz w:val="20"/>
                <w:szCs w:val="20"/>
              </w:rPr>
              <w:t xml:space="preserve"/>
            </w:r>
          </w:p>
        </w:tc>
      </w:tr>
    </w:tbl>
    <w:p>
      <w:pPr>
        <w:spacing w:after="200" w:before="100"/>
        <w:jc w:val="both"/>
      </w:pPr>
      <w:r>
        <w:rPr>
          <w:i/>
          <w:iCs/>
          <w:sz w:val="16"/>
          <w:szCs w:val="16"/>
        </w:rPr>
        <w:t xml:space="preserve">Note: “Valuation” is based on a multiple of 1.0x applied to Keystone’s run-rate recurring revenue, adjusted as if the company were part of Topkey (“Pro Forma” or “PF”). Pro forma LTM July 2026 recurring revenue is approximately $3.0 million.</w:t>
      </w:r>
    </w:p>
    <w:p>
      <w:pPr>
        <w:spacing w:after="140" w:before="280"/>
      </w:pPr>
      <w:r>
        <w:rPr>
          <w:b/>
          <w:bCs/>
          <w:color w:val="7A0000"/>
          <w:sz w:val="24"/>
          <w:szCs w:val="24"/>
          <w:u w:val="single"/>
        </w:rPr>
        <w:t xml:space="preserve">The nuts and bolts of the offer</w:t>
      </w:r>
    </w:p>
    <w:p>
      <w:pPr>
        <w:pStyle w:val="ListParagraph"/>
        <w:numPr>
          <w:ilvl w:val="0"/>
          <w:numId w:val="2"/>
        </w:numPr>
        <w:spacing w:after="120" w:line="264" w:lineRule="auto"/>
        <w:jc w:val="both"/>
      </w:pPr>
      <w:r>
        <w:rPr>
          <w:b/>
          <w:bCs/>
        </w:rPr>
        <w:t xml:space="preserve">Valuation: </w:t>
      </w:r>
      <w:r>
        <w:t xml:space="preserve">Our valuation of $3,000,000 reflects a multiple of 1.0x applied to Keystone’s run-rate recurring revenue. Our multiple is based on our understanding that Keystone has a high proportion of recurring revenue, a growing subscription base, and the operating structure and leadership in place to support continued growth. We will confirm this understanding in diligence, but our current view is that Keystone operates with:</w:t>
      </w:r>
    </w:p>
    <w:p>
      <w:pPr>
        <w:pStyle w:val="ListParagraph"/>
        <w:numPr>
          <w:ilvl w:val="1"/>
          <w:numId w:val="2"/>
        </w:numPr>
        <w:spacing w:after="120" w:line="264" w:lineRule="auto"/>
        <w:jc w:val="both"/>
      </w:pPr>
      <w:r>
        <w:t xml:space="preserve">Recurring revenue representing approximately 79% of total revenue;</w:t>
      </w:r>
    </w:p>
    <w:p>
      <w:pPr>
        <w:pStyle w:val="ListParagraph"/>
        <w:numPr>
          <w:ilvl w:val="1"/>
          <w:numId w:val="2"/>
        </w:numPr>
        <w:spacing w:after="120" w:line="264" w:lineRule="auto"/>
        <w:jc w:val="both"/>
      </w:pPr>
      <w:r>
        <w:t xml:space="preserve">Recurring revenue growth of approximately 23% on a pro forma basis;</w:t>
      </w:r>
    </w:p>
    <w:p>
      <w:pPr>
        <w:pStyle w:val="ListParagraph"/>
        <w:numPr>
          <w:ilvl w:val="1"/>
          <w:numId w:val="2"/>
        </w:numPr>
        <w:spacing w:after="120" w:line="264" w:lineRule="auto"/>
        <w:jc w:val="both"/>
      </w:pPr>
      <w:r>
        <w:t xml:space="preserve">A pod-based delivery model with documented onboarding and service standards; and</w:t>
      </w:r>
    </w:p>
    <w:p>
      <w:pPr>
        <w:pStyle w:val="ListParagraph"/>
        <w:numPr>
          <w:ilvl w:val="1"/>
          <w:numId w:val="2"/>
        </w:numPr>
        <w:spacing w:after="120" w:line="264" w:lineRule="auto"/>
        <w:jc w:val="both"/>
      </w:pPr>
      <w:r>
        <w:t xml:space="preserve">An owner-operator with the ambition and capacity to keep growing the business.</w:t>
      </w:r>
    </w:p>
    <w:p>
      <w:pPr>
        <w:pStyle w:val="ListParagraph"/>
        <w:numPr>
          <w:ilvl w:val="0"/>
          <w:numId w:val="2"/>
        </w:numPr>
        <w:spacing w:after="120" w:line="264" w:lineRule="auto"/>
        <w:jc w:val="both"/>
      </w:pPr>
      <w:r>
        <w:rPr>
          <w:b/>
          <w:bCs/>
        </w:rPr>
        <w:t xml:space="preserve">Structure of Purchase: </w:t>
      </w:r>
      <w:r>
        <w:t xml:space="preserve">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pPr>
        <w:pStyle w:val="ListParagraph"/>
        <w:numPr>
          <w:ilvl w:val="0"/>
          <w:numId w:val="2"/>
        </w:numPr>
        <w:spacing w:after="120" w:line="264" w:lineRule="auto"/>
        <w:jc w:val="both"/>
      </w:pPr>
      <w:r>
        <w:rPr>
          <w:b/>
          <w:bCs/>
        </w:rPr>
        <w:t xml:space="preserve">Tax Treatment: </w:t>
      </w:r>
      <w:r>
        <w:t xml:space="preserve">The transaction is intended to be structured so that the equity portion of the consideration is tax-deferred to Ben, with the cash portion taxable at closing. The specific structure is subject to confirmation by tax counsel and to the details of Keystone’s S corporation election.</w:t>
      </w:r>
    </w:p>
    <w:p>
      <w:pPr>
        <w:pStyle w:val="ListParagraph"/>
        <w:numPr>
          <w:ilvl w:val="0"/>
          <w:numId w:val="2"/>
        </w:numPr>
        <w:spacing w:after="120" w:line="264" w:lineRule="auto"/>
        <w:jc w:val="both"/>
      </w:pPr>
      <w:r>
        <w:rPr>
          <w:b/>
          <w:bCs/>
        </w:rPr>
        <w:t xml:space="preserve">Components of Structure: </w:t>
      </w:r>
      <w:r>
        <w:t xml:space="preserve">The combination of cash and Topkey equity that makes up our offer is as follows:</w:t>
      </w:r>
    </w:p>
    <w:p>
      <w:pPr>
        <w:pStyle w:val="ListParagraph"/>
        <w:numPr>
          <w:ilvl w:val="1"/>
          <w:numId w:val="2"/>
        </w:numPr>
        <w:spacing w:after="120" w:line="264" w:lineRule="auto"/>
        <w:jc w:val="both"/>
      </w:pPr>
      <w:r>
        <w:rPr>
          <w:b/>
          <w:bCs/>
        </w:rPr>
        <w:t xml:space="preserve">Cash: </w:t>
      </w:r>
      <w:r>
        <w:t xml:space="preserve">$500,000 paid at close, representing 17% of Total Valuation.</w:t>
      </w:r>
    </w:p>
    <w:p>
      <w:pPr>
        <w:pStyle w:val="ListParagraph"/>
        <w:numPr>
          <w:ilvl w:val="1"/>
          <w:numId w:val="2"/>
        </w:numPr>
        <w:spacing w:after="120" w:line="264" w:lineRule="auto"/>
        <w:jc w:val="both"/>
      </w:pPr>
      <w:r>
        <w:rPr>
          <w:b/>
          <w:bCs/>
        </w:rPr>
        <w:t xml:space="preserve">Topkey Equity: </w:t>
      </w:r>
      <w:r>
        <w:t xml:space="preserve">$2,500,000, representing 83% of Total Valuation, paid in newly issued Topkey shares. The equity terms are as follows:</w:t>
      </w:r>
    </w:p>
    <w:p>
      <w:pPr>
        <w:pStyle w:val="ListParagraph"/>
        <w:numPr>
          <w:ilvl w:val="2"/>
          <w:numId w:val="2"/>
        </w:numPr>
        <w:spacing w:after="120" w:line="264" w:lineRule="auto"/>
        <w:jc w:val="both"/>
      </w:pPr>
      <w:r>
        <w:t xml:space="preserve">Ownership: approximately </w:t>
      </w:r>
      <w:r>
        <w:rPr>
          <w:highlight w:val="yellow"/>
        </w:rPr>
        <w:t xml:space="preserve">[5.0]</w:t>
      </w:r>
      <w:r>
        <w:t xml:space="preserve">% of Topkey, based on </w:t>
      </w:r>
      <w:r>
        <w:rPr>
          <w:highlight w:val="yellow"/>
        </w:rPr>
        <w:t xml:space="preserve">[Topkey’s most recent post-money valuation of $50M]</w:t>
      </w:r>
      <w:r>
        <w:t xml:space="preserve">.</w:t>
      </w:r>
    </w:p>
    <w:p>
      <w:pPr>
        <w:pStyle w:val="ListParagraph"/>
        <w:numPr>
          <w:ilvl w:val="2"/>
          <w:numId w:val="2"/>
        </w:numPr>
        <w:spacing w:after="120" w:line="264" w:lineRule="auto"/>
        <w:jc w:val="both"/>
      </w:pPr>
      <w:r>
        <w:t xml:space="preserve">Issuance: shares are issued in full at closing.</w:t>
      </w:r>
    </w:p>
    <w:p>
      <w:pPr>
        <w:pStyle w:val="ListParagraph"/>
        <w:numPr>
          <w:ilvl w:val="2"/>
          <w:numId w:val="2"/>
        </w:numPr>
        <w:spacing w:after="120" w:line="264" w:lineRule="auto"/>
        <w:jc w:val="both"/>
      </w:pPr>
      <w:r>
        <w:t xml:space="preserve">Continuity protection: if Ben leaves voluntarily or is terminated for cause within </w:t>
      </w:r>
      <w:r>
        <w:rPr>
          <w:highlight w:val="yellow"/>
        </w:rPr>
        <w:t xml:space="preserve">[5]</w:t>
      </w:r>
      <w:r>
        <w:t xml:space="preserve"> years of closing, Topkey may repurchase </w:t>
      </w:r>
      <w:r>
        <w:rPr>
          <w:highlight w:val="yellow"/>
        </w:rPr>
        <w:t xml:space="preserve">[a declining portion]</w:t>
      </w:r>
      <w:r>
        <w:t xml:space="preserve"> of the shares at </w:t>
      </w:r>
      <w:r>
        <w:rPr>
          <w:highlight w:val="yellow"/>
        </w:rPr>
        <w:t xml:space="preserve">[fair market value]</w:t>
      </w:r>
      <w:r>
        <w:t xml:space="preserve">. Final mechanics to be set out in the definitive agreements.</w:t>
      </w:r>
    </w:p>
    <w:p>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 xml:space="preserve">[common]</w:t>
      </w:r>
      <w:r>
        <w:t xml:space="preserve"> shareholders. Includes </w:t>
      </w:r>
      <w:r>
        <w:rPr>
          <w:highlight w:val="yellow"/>
        </w:rPr>
        <w:t xml:space="preserve">[annual financial reporting / information rights]</w:t>
      </w:r>
      <w:r>
        <w:t xml:space="preserve">. Stockholder agreement terms (transfer, tag-along, drag-along) to be customary.</w:t>
      </w:r>
    </w:p>
    <w:p>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 xml:space="preserve">[5]</w:t>
      </w:r>
      <w:r>
        <w:t xml:space="preserve">-year employment agreement on the following terms:</w:t>
      </w:r>
    </w:p>
    <w:p>
      <w:pPr>
        <w:spacing w:after="1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Title</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highlight w:val="yellow"/>
              </w:rPr>
              <w:t xml:space="preserve">[Accounting Director]</w:t>
            </w:r>
            <w:r>
              <w:t xml:space="preserve">, </w:t>
            </w:r>
            <w:r>
              <w:rPr>
                <w:highlight w:val="yellow"/>
              </w:rPr>
              <w:t xml:space="preserve">[reporting to Topkey’s CEO]</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Base Salary</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b/>
                <w:bCs/>
              </w:rPr>
              <w:t xml:space="preserve">$150,000</w:t>
            </w:r>
            <w:r>
              <w:t xml:space="preserve"> per year</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Client Growth Bonus</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b/>
                <w:bCs/>
              </w:rPr>
              <w:t xml:space="preserve">$50,000</w:t>
            </w:r>
            <w:r>
              <w:t xml:space="preserve"> per year for achieving the annual customer growth target</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Employee Retention Bonus</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b/>
                <w:bCs/>
              </w:rPr>
              <w:t xml:space="preserve">$50,000</w:t>
            </w:r>
            <w:r>
              <w:t xml:space="preserve"> per year for achieving the annual employee retention target</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Total Annual Earning Potential</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b/>
                <w:bCs/>
              </w:rPr>
              <w:t xml:space="preserve">Up to $250,000</w:t>
            </w:r>
            <w:r>
              <w:t xml:space="preserve"> per year. This is stable, predictable pay that no longer depends on month-to-month distributions while Keystone reinvests in growth.</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Work Location &amp; Schedule</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Fully remote. No relocation or office requirement. Ben continues to set his own schedule.</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Benefits</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Eligible for Topkey benefit plans on the same basis as other Topkey executives</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Employment Term</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highlight w:val="yellow"/>
              </w:rPr>
              <w:t xml:space="preserve">[5]</w:t>
            </w:r>
            <w:r>
              <w:t xml:space="preserve">-year employment agreement</w:t>
            </w:r>
          </w:p>
        </w:tc>
      </w:tr>
    </w:tbl>
    <w:p>
      <w:pPr>
        <w:spacing w:after="160"/>
      </w:pPr>
    </w:p>
    <w:p>
      <w:pPr>
        <w:spacing w:after="100" w:before="200"/>
      </w:pPr>
      <w:r>
        <w:rPr>
          <w:b/>
          <w:bCs/>
          <w:color w:val="9A0033"/>
          <w:sz w:val="22"/>
          <w:szCs w:val="22"/>
        </w:rPr>
        <w:t xml:space="preserve">Bonus Target Framework</w:t>
      </w:r>
    </w:p>
    <w:p>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 xml:space="preserve">[20]</w:t>
      </w:r>
      <w:r>
        <w:t xml:space="preserve">% over the prior calendar year, measured as new client revenue less churned client revenue. Measuring on a net basis rewards both winning new clients and keeping existing ones.</w:t>
      </w:r>
    </w:p>
    <w:p>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 xml:space="preserve">[85]</w:t>
      </w:r>
      <w:r>
        <w:t xml:space="preserve">%. </w:t>
      </w:r>
      <w:r>
        <w:rPr>
          <w:highlight w:val="yellow"/>
        </w:rPr>
        <w:t xml:space="preserve">[Calculated as taking the average employee count for the year divided by sum of all employees who left over the calendar year — definition to be confirmed.]</w:t>
      </w:r>
      <w:r>
        <w:t xml:space="preserve"> The target is measured only on team members who have completed their initial </w:t>
      </w:r>
      <w:r>
        <w:rPr>
          <w:highlight w:val="yellow"/>
        </w:rPr>
        <w:t xml:space="preserve">[90]</w:t>
      </w:r>
      <w:r>
        <w:t xml:space="preserve">-day evaluation period, so Keystone’s hire-and-evaluate recruiting model is not penalized.</w:t>
      </w:r>
    </w:p>
    <w:p>
      <w:pPr>
        <w:pStyle w:val="ListParagraph"/>
        <w:numPr>
          <w:ilvl w:val="0"/>
          <w:numId w:val="3"/>
        </w:numPr>
        <w:spacing w:after="80" w:line="264" w:lineRule="auto"/>
        <w:jc w:val="both"/>
      </w:pPr>
      <w:r>
        <w:t xml:space="preserve">Each bonus is earned independently and paid within </w:t>
      </w:r>
      <w:r>
        <w:rPr>
          <w:highlight w:val="yellow"/>
        </w:rPr>
        <w:t xml:space="preserve">[60]</w:t>
      </w:r>
      <w:r>
        <w:t xml:space="preserve"> days after year-end. The first measurement period is calendar year 2027.</w:t>
      </w:r>
    </w:p>
    <w:p>
      <w:pPr>
        <w:pStyle w:val="ListParagraph"/>
        <w:numPr>
          <w:ilvl w:val="0"/>
          <w:numId w:val="3"/>
        </w:numPr>
        <w:spacing w:after="80" w:line="264" w:lineRule="auto"/>
        <w:jc w:val="both"/>
      </w:pPr>
      <w:r>
        <w:t xml:space="preserve">Specific targets are set jointly with Ben as part of the annual budget. </w:t>
      </w:r>
      <w:r>
        <w:rPr>
          <w:highlight w:val="yellow"/>
        </w:rPr>
        <w:t xml:space="preserve">[Partial payout for partial achievement]</w:t>
      </w:r>
      <w:r>
        <w:t xml:space="preserve"> to be discussed.</w:t>
      </w:r>
    </w:p>
    <w:p>
      <w:pPr>
        <w:pStyle w:val="ListParagraph"/>
        <w:numPr>
          <w:ilvl w:val="0"/>
          <w:numId w:val="2"/>
        </w:numPr>
        <w:spacing w:after="120" w:line="264" w:lineRule="auto"/>
        <w:jc w:val="both"/>
      </w:pPr>
      <w:r>
        <w:rPr>
          <w:b/>
          <w:bCs/>
        </w:rPr>
        <w:t xml:space="preserve">Operating Decisions: </w:t>
      </w:r>
      <w:r>
        <w:t xml:space="preserve">Ben continues to run Keystone day to day. Topkey’s role is to add engineering, capital and thought partnership, not to manage the business.</w:t>
      </w:r>
    </w:p>
    <w:p>
      <w:pPr>
        <w:spacing w:after="10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Ben Keeps Control Of</w:t>
            </w:r>
          </w:p>
        </w:tc>
        <w:tc>
          <w:tcPr>
            <w:tcW w:type="dxa" w:w="5040"/>
            <w:tcBorders>
              <w:top w:val="single" w:color="D8D0C6" w:sz="4"/>
              <w:left w:val="single" w:color="D8D0C6" w:sz="4"/>
              <w:bottom w:val="single" w:color="D8D0C6" w:sz="4"/>
              <w:right w:val="single" w:color="D8D0C6" w:sz="4"/>
            </w:tcBorders>
            <w:shd w:fill="7A0000" w:color="auto" w:val="clear"/>
            <w:tcMar>
              <w:top w:type="dxa" w:w="90"/>
              <w:left w:type="dxa" w:w="120"/>
              <w:bottom w:type="dxa" w:w="90"/>
              <w:right w:type="dxa" w:w="120"/>
            </w:tcMar>
          </w:tcPr>
          <w:p>
            <w:pPr>
              <w:spacing w:after="0"/>
            </w:pPr>
            <w:r>
              <w:rPr>
                <w:b/>
                <w:bCs/>
                <w:color w:val="FFFFFF"/>
                <w:sz w:val="20"/>
                <w:szCs w:val="20"/>
              </w:rPr>
              <w:t xml:space="preserve">Requires Topkey Approval</w:t>
            </w:r>
          </w:p>
        </w:tc>
      </w:tr>
      <w:tr>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pStyle w:val="ListParagraph"/>
              <w:numPr>
                <w:ilvl w:val="0"/>
                <w:numId w:val="3"/>
              </w:numPr>
              <w:spacing w:after="80" w:line="264" w:lineRule="auto"/>
              <w:jc w:val="both"/>
            </w:pPr>
            <w:r>
              <w:rPr>
                <w:sz w:val="20"/>
                <w:szCs w:val="20"/>
              </w:rPr>
              <w:t xml:space="preserve">Day-to-day operations and client service delivery</w:t>
            </w:r>
          </w:p>
          <w:p>
            <w:pPr>
              <w:pStyle w:val="ListParagraph"/>
              <w:numPr>
                <w:ilvl w:val="0"/>
                <w:numId w:val="3"/>
              </w:numPr>
              <w:spacing w:after="80" w:line="264" w:lineRule="auto"/>
              <w:jc w:val="both"/>
            </w:pPr>
            <w:r>
              <w:rPr>
                <w:sz w:val="20"/>
                <w:szCs w:val="20"/>
              </w:rPr>
              <w:t xml:space="preserve">Pod structure, staffing levels, and hiring and termination decisions within the approved budget</w:t>
            </w:r>
          </w:p>
          <w:p>
            <w:pPr>
              <w:pStyle w:val="ListParagraph"/>
              <w:numPr>
                <w:ilvl w:val="0"/>
                <w:numId w:val="3"/>
              </w:numPr>
              <w:spacing w:after="80" w:line="264" w:lineRule="auto"/>
              <w:jc w:val="both"/>
            </w:pPr>
            <w:r>
              <w:rPr>
                <w:sz w:val="20"/>
                <w:szCs w:val="20"/>
              </w:rPr>
              <w:t xml:space="preserve">Team compensation, KPIs and bonus programs within budget</w:t>
            </w:r>
          </w:p>
          <w:p>
            <w:pPr>
              <w:pStyle w:val="ListParagraph"/>
              <w:numPr>
                <w:ilvl w:val="0"/>
                <w:numId w:val="3"/>
              </w:numPr>
              <w:spacing w:after="80" w:line="264" w:lineRule="auto"/>
              <w:jc w:val="both"/>
            </w:pPr>
            <w:r>
              <w:rPr>
                <w:sz w:val="20"/>
                <w:szCs w:val="20"/>
              </w:rPr>
              <w:t xml:space="preserve">Recruiting approach and management of the offshore team</w:t>
            </w:r>
          </w:p>
          <w:p>
            <w:pPr>
              <w:pStyle w:val="ListParagraph"/>
              <w:numPr>
                <w:ilvl w:val="0"/>
                <w:numId w:val="3"/>
              </w:numPr>
              <w:spacing w:after="80" w:line="264" w:lineRule="auto"/>
              <w:jc w:val="both"/>
            </w:pPr>
            <w:r>
              <w:rPr>
                <w:sz w:val="20"/>
                <w:szCs w:val="20"/>
              </w:rPr>
              <w:t xml:space="preserve">Client acceptance criteria, onboarding and service standards</w:t>
            </w:r>
          </w:p>
          <w:p>
            <w:pPr>
              <w:pStyle w:val="ListParagraph"/>
              <w:numPr>
                <w:ilvl w:val="0"/>
                <w:numId w:val="3"/>
              </w:numPr>
              <w:spacing w:after="80" w:line="264" w:lineRule="auto"/>
              <w:jc w:val="both"/>
            </w:pPr>
            <w:r>
              <w:rPr>
                <w:sz w:val="20"/>
                <w:szCs w:val="20"/>
              </w:rPr>
              <w:t xml:space="preserve">Service pricing within the approved pricing guidelines</w:t>
            </w:r>
          </w:p>
          <w:p>
            <w:pPr>
              <w:pStyle w:val="ListParagraph"/>
              <w:numPr>
                <w:ilvl w:val="0"/>
                <w:numId w:val="3"/>
              </w:numPr>
              <w:spacing w:after="80" w:line="264" w:lineRule="auto"/>
              <w:jc w:val="both"/>
            </w:pPr>
            <w:r>
              <w:rPr>
                <w:sz w:val="20"/>
                <w:szCs w:val="20"/>
              </w:rPr>
              <w:t xml:space="preserve">Marketing, content and conference presence within budget</w:t>
            </w:r>
          </w:p>
          <w:p>
            <w:pPr>
              <w:pStyle w:val="ListParagraph"/>
              <w:numPr>
                <w:ilvl w:val="0"/>
                <w:numId w:val="3"/>
              </w:numPr>
              <w:spacing w:after="80" w:line="264" w:lineRule="auto"/>
              <w:jc w:val="both"/>
            </w:pPr>
            <w:r>
              <w:rPr>
                <w:sz w:val="20"/>
                <w:szCs w:val="20"/>
              </w:rPr>
              <w:t xml:space="preserve">His own schedule, location and working style</w:t>
            </w:r>
          </w:p>
        </w:tc>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pStyle w:val="ListParagraph"/>
              <w:numPr>
                <w:ilvl w:val="0"/>
                <w:numId w:val="3"/>
              </w:numPr>
              <w:spacing w:after="80" w:line="264" w:lineRule="auto"/>
              <w:jc w:val="both"/>
            </w:pPr>
            <w:r>
              <w:rPr>
                <w:sz w:val="20"/>
                <w:szCs w:val="20"/>
              </w:rPr>
              <w:t xml:space="preserve">Annual operating budget and headcount plan</w:t>
            </w:r>
          </w:p>
          <w:p>
            <w:pPr>
              <w:pStyle w:val="ListParagraph"/>
              <w:numPr>
                <w:ilvl w:val="0"/>
                <w:numId w:val="3"/>
              </w:numPr>
              <w:spacing w:after="80" w:line="264" w:lineRule="auto"/>
              <w:jc w:val="both"/>
            </w:pPr>
            <w:r>
              <w:rPr>
                <w:sz w:val="20"/>
                <w:szCs w:val="20"/>
              </w:rPr>
              <w:t xml:space="preserve">New hires or compensation changes above $</w:t>
            </w:r>
            <w:r>
              <w:rPr>
                <w:sz w:val="20"/>
                <w:szCs w:val="20"/>
                <w:highlight w:val="yellow"/>
              </w:rPr>
              <w:t xml:space="preserve">[80,000]</w:t>
            </w:r>
            <w:r>
              <w:rPr>
                <w:sz w:val="20"/>
                <w:szCs w:val="20"/>
              </w:rPr>
              <w:t xml:space="preserve"> per year</w:t>
            </w:r>
          </w:p>
          <w:p>
            <w:pPr>
              <w:pStyle w:val="ListParagraph"/>
              <w:numPr>
                <w:ilvl w:val="0"/>
                <w:numId w:val="3"/>
              </w:numPr>
              <w:spacing w:after="80" w:line="264" w:lineRule="auto"/>
              <w:jc w:val="both"/>
            </w:pPr>
            <w:r>
              <w:rPr>
                <w:sz w:val="20"/>
                <w:szCs w:val="20"/>
              </w:rPr>
              <w:t xml:space="preserve">Software or vendor contracts above $</w:t>
            </w:r>
            <w:r>
              <w:rPr>
                <w:sz w:val="20"/>
                <w:szCs w:val="20"/>
                <w:highlight w:val="yellow"/>
              </w:rPr>
              <w:t xml:space="preserve">[10,000]</w:t>
            </w:r>
            <w:r>
              <w:rPr>
                <w:sz w:val="20"/>
                <w:szCs w:val="20"/>
              </w:rPr>
              <w:t xml:space="preserve"> per year, and changes to the core tech stack</w:t>
            </w:r>
          </w:p>
          <w:p>
            <w:pPr>
              <w:pStyle w:val="ListParagraph"/>
              <w:numPr>
                <w:ilvl w:val="0"/>
                <w:numId w:val="3"/>
              </w:numPr>
              <w:spacing w:after="80" w:line="264" w:lineRule="auto"/>
              <w:jc w:val="both"/>
            </w:pPr>
            <w:r>
              <w:rPr>
                <w:sz w:val="20"/>
                <w:szCs w:val="20"/>
              </w:rPr>
              <w:t xml:space="preserve">Debt, capital expenditures, guarantees or liens</w:t>
            </w:r>
          </w:p>
          <w:p>
            <w:pPr>
              <w:pStyle w:val="ListParagraph"/>
              <w:numPr>
                <w:ilvl w:val="0"/>
                <w:numId w:val="3"/>
              </w:numPr>
              <w:spacing w:after="80" w:line="264" w:lineRule="auto"/>
              <w:jc w:val="both"/>
            </w:pPr>
            <w:r>
              <w:rPr>
                <w:sz w:val="20"/>
                <w:szCs w:val="20"/>
              </w:rPr>
              <w:t xml:space="preserve">Acquisitions, new entities or new service lines</w:t>
            </w:r>
          </w:p>
          <w:p>
            <w:pPr>
              <w:pStyle w:val="ListParagraph"/>
              <w:numPr>
                <w:ilvl w:val="0"/>
                <w:numId w:val="3"/>
              </w:numPr>
              <w:spacing w:after="80" w:line="264" w:lineRule="auto"/>
              <w:jc w:val="both"/>
            </w:pPr>
            <w:r>
              <w:rPr>
                <w:sz w:val="20"/>
                <w:szCs w:val="20"/>
              </w:rPr>
              <w:t xml:space="preserve">Related-party transactions</w:t>
            </w:r>
          </w:p>
          <w:p>
            <w:pPr>
              <w:pStyle w:val="ListParagraph"/>
              <w:numPr>
                <w:ilvl w:val="0"/>
                <w:numId w:val="3"/>
              </w:numPr>
              <w:spacing w:after="80" w:line="264" w:lineRule="auto"/>
              <w:jc w:val="both"/>
            </w:pPr>
            <w:r>
              <w:rPr>
                <w:sz w:val="20"/>
                <w:szCs w:val="20"/>
              </w:rPr>
              <w:t xml:space="preserve">Material pricing changes (more than </w:t>
            </w:r>
            <w:r>
              <w:rPr>
                <w:sz w:val="20"/>
                <w:szCs w:val="20"/>
                <w:highlight w:val="yellow"/>
              </w:rPr>
              <w:t xml:space="preserve">[5]</w:t>
            </w:r>
            <w:r>
              <w:rPr>
                <w:sz w:val="20"/>
                <w:szCs w:val="20"/>
              </w:rPr>
              <w:t xml:space="preserve">%) or non-standard client contract terms</w:t>
            </w:r>
          </w:p>
          <w:p>
            <w:pPr>
              <w:pStyle w:val="ListParagraph"/>
              <w:numPr>
                <w:ilvl w:val="0"/>
                <w:numId w:val="3"/>
              </w:numPr>
              <w:spacing w:after="80" w:line="264" w:lineRule="auto"/>
              <w:jc w:val="both"/>
            </w:pPr>
            <w:r>
              <w:rPr>
                <w:sz w:val="20"/>
                <w:szCs w:val="20"/>
              </w:rPr>
              <w:t xml:space="preserve">Distributions, equity issuances, sale of material assets</w:t>
            </w:r>
          </w:p>
          <w:p>
            <w:pPr>
              <w:pStyle w:val="ListParagraph"/>
              <w:numPr>
                <w:ilvl w:val="0"/>
                <w:numId w:val="3"/>
              </w:numPr>
              <w:spacing w:after="80" w:line="264" w:lineRule="auto"/>
              <w:jc w:val="both"/>
            </w:pPr>
            <w:r>
              <w:rPr>
                <w:sz w:val="20"/>
                <w:szCs w:val="20"/>
              </w:rPr>
              <w:t xml:space="preserve">Litigation and settlements</w:t>
            </w:r>
          </w:p>
        </w:tc>
      </w:tr>
    </w:tbl>
    <w:p>
      <w:pPr>
        <w:spacing w:after="160"/>
      </w:pPr>
    </w:p>
    <w:p>
      <w:pPr>
        <w:spacing w:after="100" w:before="200"/>
      </w:pPr>
      <w:r>
        <w:rPr>
          <w:b/>
          <w:bCs/>
          <w:color w:val="9A0033"/>
          <w:sz w:val="22"/>
          <w:szCs w:val="22"/>
        </w:rPr>
        <w:t xml:space="preserve">What Changes After Closing</w:t>
      </w:r>
    </w:p>
    <w:p>
      <w:pPr>
        <w:pStyle w:val="ListParagraph"/>
        <w:numPr>
          <w:ilvl w:val="0"/>
          <w:numId w:val="3"/>
        </w:numPr>
        <w:spacing w:after="80" w:line="264" w:lineRule="auto"/>
        <w:jc w:val="both"/>
      </w:pPr>
      <w:r>
        <w:rPr>
          <w:b/>
          <w:bCs/>
        </w:rPr>
        <w:t xml:space="preserve">Ownership: </w:t>
      </w:r>
      <w:r>
        <w:t xml:space="preserve">Topkey owns 100% of Keystone. Ben’s ownership interest moves up to the Topkey level.</w:t>
      </w:r>
    </w:p>
    <w:p>
      <w:pPr>
        <w:pStyle w:val="ListParagraph"/>
        <w:numPr>
          <w:ilvl w:val="0"/>
          <w:numId w:val="3"/>
        </w:numPr>
        <w:spacing w:after="80" w:line="264" w:lineRule="auto"/>
        <w:jc w:val="both"/>
      </w:pPr>
      <w:r>
        <w:rPr>
          <w:b/>
          <w:bCs/>
        </w:rPr>
        <w:t xml:space="preserve">Financial reporting: </w:t>
      </w:r>
      <w:r>
        <w:t xml:space="preserve">Keystone completes a monthly close and reports results to Topkey’s finance team. Keystone also operates against an annual budget that Ben prepares and Topkey approves.</w:t>
      </w:r>
    </w:p>
    <w:p>
      <w:pPr>
        <w:pStyle w:val="ListParagraph"/>
        <w:numPr>
          <w:ilvl w:val="0"/>
          <w:numId w:val="3"/>
        </w:numPr>
        <w:spacing w:after="80" w:line="264" w:lineRule="auto"/>
        <w:jc w:val="both"/>
      </w:pPr>
      <w:r>
        <w:rPr>
          <w:b/>
          <w:bCs/>
        </w:rPr>
        <w:t xml:space="preserve">Technology: </w:t>
      </w:r>
      <w:r>
        <w:t xml:space="preserve">Topkey’s engineering team leads software and automation development in partnership with Keystone’s operators. Keystone’s current outsourced development work transitions to Topkey over time.</w:t>
      </w:r>
    </w:p>
    <w:p>
      <w:pPr>
        <w:pStyle w:val="ListParagraph"/>
        <w:numPr>
          <w:ilvl w:val="0"/>
          <w:numId w:val="3"/>
        </w:numPr>
        <w:spacing w:after="80" w:line="264" w:lineRule="auto"/>
        <w:jc w:val="both"/>
      </w:pPr>
      <w:r>
        <w:rPr>
          <w:b/>
          <w:bCs/>
        </w:rPr>
        <w:t xml:space="preserve">Software stack: </w:t>
      </w:r>
      <w:r>
        <w:t xml:space="preserve">Where Topkey offers an equivalent or better product (for example, trust accounting in place of VR Platform), tools migrate to Topkey on a jointly planned, phased timeline. Clients are not moved until the product is ready.</w:t>
      </w:r>
    </w:p>
    <w:p>
      <w:pPr>
        <w:pStyle w:val="ListParagraph"/>
        <w:numPr>
          <w:ilvl w:val="0"/>
          <w:numId w:val="3"/>
        </w:numPr>
        <w:spacing w:after="80" w:line="264" w:lineRule="auto"/>
        <w:jc w:val="both"/>
      </w:pPr>
      <w:r>
        <w:rPr>
          <w:b/>
          <w:bCs/>
        </w:rPr>
        <w:t xml:space="preserve">Banking and payments: </w:t>
      </w:r>
      <w:r>
        <w:t xml:space="preserve">Keystone operating accounts move to Topkey’s banking platform.</w:t>
      </w:r>
    </w:p>
    <w:p>
      <w:pPr>
        <w:pStyle w:val="ListParagraph"/>
        <w:numPr>
          <w:ilvl w:val="0"/>
          <w:numId w:val="3"/>
        </w:numPr>
        <w:spacing w:after="80" w:line="264" w:lineRule="auto"/>
        <w:jc w:val="both"/>
      </w:pPr>
      <w:r>
        <w:rPr>
          <w:b/>
          <w:bCs/>
        </w:rPr>
        <w:t xml:space="preserve">Brand: </w:t>
      </w:r>
      <w:r>
        <w:rPr>
          <w:highlight w:val="yellow"/>
        </w:rPr>
        <w:t xml:space="preserve">[Keystone begins operating under the Topkey brand, with roll-out process to be decided jointly.]</w:t>
      </w:r>
    </w:p>
    <w:p>
      <w:pPr>
        <w:pStyle w:val="ListParagraph"/>
        <w:numPr>
          <w:ilvl w:val="0"/>
          <w:numId w:val="2"/>
        </w:numPr>
        <w:spacing w:after="120" w:line="264" w:lineRule="auto"/>
        <w:jc w:val="both"/>
      </w:pPr>
      <w:r>
        <w:rPr>
          <w:b/>
          <w:bCs/>
        </w:rPr>
        <w:t xml:space="preserve">Other Important Considerations:</w:t>
      </w:r>
    </w:p>
    <w:p>
      <w:pPr>
        <w:pStyle w:val="ListParagraph"/>
        <w:numPr>
          <w:ilvl w:val="1"/>
          <w:numId w:val="2"/>
        </w:numPr>
        <w:spacing w:after="120" w:line="264" w:lineRule="auto"/>
        <w:jc w:val="both"/>
      </w:pPr>
      <w:r>
        <w:rPr>
          <w:b/>
          <w:bCs/>
        </w:rPr>
        <w:t xml:space="preserve">Growth support: </w:t>
      </w:r>
      <w:r>
        <w:t xml:space="preserve">Topkey refers bookkeeping clients from its customer base to Keystone. Topkey also supports future tuck-in acquisitions with M&amp;A resources and capital.</w:t>
      </w:r>
    </w:p>
    <w:p>
      <w:pPr>
        <w:pStyle w:val="ListParagraph"/>
        <w:numPr>
          <w:ilvl w:val="1"/>
          <w:numId w:val="2"/>
        </w:numPr>
        <w:spacing w:after="120" w:line="264" w:lineRule="auto"/>
        <w:jc w:val="both"/>
      </w:pPr>
      <w:r>
        <w:rPr>
          <w:b/>
          <w:bCs/>
        </w:rPr>
        <w:t xml:space="preserve">Existing Topkey relationship: </w:t>
      </w:r>
      <w:r>
        <w:t xml:space="preserve">Keystone’s current Topkey subscriptions become intercompany arrangements after closing. Client-facing pricing continues unchanged.</w:t>
      </w:r>
    </w:p>
    <w:p>
      <w:pPr>
        <w:pStyle w:val="ListParagraph"/>
        <w:numPr>
          <w:ilvl w:val="1"/>
          <w:numId w:val="2"/>
        </w:numPr>
        <w:spacing w:after="120" w:line="264" w:lineRule="auto"/>
        <w:jc w:val="both"/>
      </w:pPr>
      <w:r>
        <w:rPr>
          <w:b/>
          <w:bCs/>
        </w:rPr>
        <w:t xml:space="preserve">Related-party arrangements: </w:t>
      </w:r>
      <w:r>
        <w:t xml:space="preserve">Ben’s affiliated recruiting firm continues to support Keystone’s hiring on current terms, with no recruiting fees charged to Keystone. Any new or modified related-party arrangement requires Topkey approval.</w:t>
      </w:r>
    </w:p>
    <w:p>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 xml:space="preserve">[5]</w:t>
      </w:r>
      <w:r>
        <w:t xml:space="preserve"> years after closing </w:t>
      </w:r>
      <w:r>
        <w:rPr>
          <w:highlight w:val="yellow"/>
        </w:rPr>
        <w:t xml:space="preserve">[or 2 years after employment ends, whichever is later]</w:t>
      </w:r>
      <w:r>
        <w:t xml:space="preserve">.</w:t>
      </w:r>
    </w:p>
    <w:p>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funded at closing of </w:t>
      </w:r>
      <w:r>
        <w:rPr>
          <w:highlight w:val="yellow"/>
        </w:rPr>
        <w:t xml:space="preserve">[$X]</w:t>
      </w:r>
      <w:r>
        <w:t xml:space="preserve"> over an indemnity period of </w:t>
      </w:r>
      <w:r>
        <w:rPr>
          <w:highlight w:val="yellow"/>
        </w:rPr>
        <w:t xml:space="preserve">[X]</w:t>
      </w:r>
      <w:r>
        <w:t xml:space="preserve"> months.</w:t>
      </w:r>
    </w:p>
    <w:p>
      <w:pPr>
        <w:pStyle w:val="ListParagraph"/>
        <w:numPr>
          <w:ilvl w:val="0"/>
          <w:numId w:val="2"/>
        </w:numPr>
        <w:spacing w:after="120" w:line="264" w:lineRule="auto"/>
        <w:jc w:val="both"/>
      </w:pPr>
      <w:r>
        <w:rPr>
          <w:b/>
          <w:bCs/>
        </w:rPr>
        <w:t xml:space="preserve">Confirmatory Diligence: </w:t>
      </w:r>
      <w:r>
        <w:t xml:space="preserve">Following signing of this letter, our review will cover:</w:t>
      </w:r>
    </w:p>
    <w:p>
      <w:pPr>
        <w:pStyle w:val="ListParagraph"/>
        <w:numPr>
          <w:ilvl w:val="1"/>
          <w:numId w:val="2"/>
        </w:numPr>
        <w:spacing w:after="120" w:line="264" w:lineRule="auto"/>
        <w:jc w:val="both"/>
      </w:pPr>
      <w:r>
        <w:t xml:space="preserve">Quality of earnings and normalized working capital;</w:t>
      </w:r>
    </w:p>
    <w:p>
      <w:pPr>
        <w:pStyle w:val="ListParagraph"/>
        <w:numPr>
          <w:ilvl w:val="1"/>
          <w:numId w:val="2"/>
        </w:numPr>
        <w:spacing w:after="120" w:line="264" w:lineRule="auto"/>
        <w:jc w:val="both"/>
      </w:pPr>
      <w:r>
        <w:t xml:space="preserve">Client contracts, retention and churn;</w:t>
      </w:r>
    </w:p>
    <w:p>
      <w:pPr>
        <w:pStyle w:val="ListParagraph"/>
        <w:numPr>
          <w:ilvl w:val="1"/>
          <w:numId w:val="2"/>
        </w:numPr>
        <w:spacing w:after="120" w:line="264" w:lineRule="auto"/>
        <w:jc w:val="both"/>
      </w:pPr>
      <w:r>
        <w:t xml:space="preserve">Employee and contractor roster, including classification of the offshore team;</w:t>
      </w:r>
    </w:p>
    <w:p>
      <w:pPr>
        <w:pStyle w:val="ListParagraph"/>
        <w:numPr>
          <w:ilvl w:val="1"/>
          <w:numId w:val="2"/>
        </w:numPr>
        <w:spacing w:after="120" w:line="264" w:lineRule="auto"/>
        <w:jc w:val="both"/>
      </w:pPr>
      <w:r>
        <w:t xml:space="preserve">Software and vendor contracts and their assignability (including VR Platform);</w:t>
      </w:r>
    </w:p>
    <w:p>
      <w:pPr>
        <w:pStyle w:val="ListParagraph"/>
        <w:numPr>
          <w:ilvl w:val="1"/>
          <w:numId w:val="2"/>
        </w:numPr>
        <w:spacing w:after="120" w:line="264" w:lineRule="auto"/>
        <w:jc w:val="both"/>
      </w:pPr>
      <w:r>
        <w:t xml:space="preserve">Any revenue-share or affiliate agreements with PMS or software partners; and</w:t>
      </w:r>
    </w:p>
    <w:p>
      <w:pPr>
        <w:pStyle w:val="ListParagraph"/>
        <w:numPr>
          <w:ilvl w:val="1"/>
          <w:numId w:val="2"/>
        </w:numPr>
        <w:spacing w:after="120" w:line="264" w:lineRule="auto"/>
        <w:jc w:val="both"/>
      </w:pPr>
      <w:r>
        <w:t xml:space="preserve">Entity and tax status, including the details of Keystone’s S corporation election.</w:t>
      </w:r>
    </w:p>
    <w:p>
      <w:pPr>
        <w:pStyle w:val="ListParagraph"/>
        <w:numPr>
          <w:ilvl w:val="0"/>
          <w:numId w:val="2"/>
        </w:numPr>
        <w:spacing w:after="120" w:line="264" w:lineRule="auto"/>
        <w:jc w:val="both"/>
      </w:pPr>
      <w:r>
        <w:rPr>
          <w:b/>
          <w:bCs/>
        </w:rPr>
        <w:t xml:space="preserve">Timeline: </w:t>
      </w:r>
      <w:r>
        <w:t xml:space="preserve">Our proposed path to closing is as follows:</w:t>
      </w:r>
    </w:p>
    <w:p>
      <w:pPr>
        <w:spacing w:after="10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September 30, 2026</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Sign LOI</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October – mid-December</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Confirmatory diligence, definitive agreements, and integration planning (11-week process)</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December 18, 2026</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Sign closing documents and fund the escrow account</w:t>
            </w:r>
          </w:p>
        </w:tc>
      </w:tr>
      <w:tr>
        <w:tc>
          <w:tcPr>
            <w:tcW w:type="dxa" w:w="2700"/>
            <w:tcBorders>
              <w:top w:val="single" w:color="D8D0C6" w:sz="4"/>
              <w:left w:val="single" w:color="D8D0C6" w:sz="4"/>
              <w:bottom w:val="single" w:color="D8D0C6" w:sz="4"/>
              <w:right w:val="single" w:color="D8D0C6" w:sz="4"/>
            </w:tcBorders>
            <w:shd w:fill="F2EEE9" w:color="auto" w:val="clear"/>
            <w:tcMar>
              <w:top w:type="dxa" w:w="80"/>
              <w:left w:type="dxa" w:w="120"/>
              <w:bottom w:type="dxa" w:w="80"/>
              <w:right w:type="dxa" w:w="120"/>
            </w:tcMar>
          </w:tcPr>
          <w:p>
            <w:pPr>
              <w:spacing w:after="0" w:line="264" w:lineRule="auto"/>
            </w:pPr>
            <w:r>
              <w:rPr>
                <w:b/>
                <w:bCs/>
                <w:color w:val="1A1A1A"/>
                <w:sz w:val="20"/>
                <w:szCs w:val="20"/>
              </w:rPr>
              <w:t xml:space="preserve">December 31, 2026</w:t>
            </w:r>
          </w:p>
        </w:tc>
        <w:tc>
          <w:tcPr>
            <w:tcW w:type="dxa" w:w="738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rPr>
                <w:sz w:val="20"/>
                <w:szCs w:val="20"/>
              </w:rPr>
              <w:t xml:space="preserve">Effective closing date</w:t>
            </w:r>
          </w:p>
        </w:tc>
      </w:tr>
    </w:tbl>
    <w:p>
      <w:pPr>
        <w:spacing w:after="200"/>
      </w:pPr>
    </w:p>
    <w:p>
      <w:pPr>
        <w:spacing w:after="140" w:before="280"/>
      </w:pPr>
      <w:r>
        <w:rPr>
          <w:b/>
          <w:bCs/>
          <w:color w:val="7A0000"/>
          <w:sz w:val="24"/>
          <w:szCs w:val="24"/>
          <w:u w:val="single"/>
        </w:rPr>
        <w:t xml:space="preserve">Agreement and Signature</w:t>
      </w:r>
    </w:p>
    <w:p>
      <w:pPr>
        <w:spacing w:after="160" w:line="264" w:lineRule="auto"/>
        <w:jc w:val="both"/>
      </w:pPr>
      <w:r>
        <w:t xml:space="preserve">If the above framework is acceptable to you, our goal would be to move efficiently towards a transaction. Your signature to this letter below confirms that you agree to:</w:t>
      </w:r>
    </w:p>
    <w:p>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 xml:space="preserve">[60]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w:t>
      </w:r>
      <w:r>
        <w:rPr>
          <w:highlight w:val="yellow"/>
        </w:rPr>
        <w:t xml:space="preserve">[Unless you send a notice by the expiration of the exclusivity period, we will continually receive an automatic 30-day extension of exclusivity.]</w:t>
      </w:r>
    </w:p>
    <w:p>
      <w:pPr>
        <w:pStyle w:val="ListParagraph"/>
        <w:numPr>
          <w:ilvl w:val="0"/>
          <w:numId w:val="4"/>
        </w:numPr>
        <w:spacing w:after="140" w:line="264" w:lineRule="auto"/>
        <w:jc w:val="both"/>
      </w:pPr>
      <w:r>
        <w:rPr>
          <w:b/>
          <w:bCs/>
        </w:rPr>
        <w:t xml:space="preserve">Provide access for due diligence: </w:t>
      </w:r>
      <w:r>
        <w:t xml:space="preserve">You agree to allow us access to company records and, where necessary, key employees (with your prior consent), for the purpose of completing a due diligence review covering the areas described above.</w:t>
      </w:r>
    </w:p>
    <w:p>
      <w:pPr>
        <w:pStyle w:val="ListParagraph"/>
        <w:numPr>
          <w:ilvl w:val="0"/>
          <w:numId w:val="4"/>
        </w:numPr>
        <w:spacing w:after="140" w:line="264" w:lineRule="auto"/>
        <w:jc w:val="both"/>
      </w:pPr>
      <w:r>
        <w:rPr>
          <w:b/>
          <w:bCs/>
        </w:rPr>
        <w:t xml:space="preserve">Negotiate a purchase agreement: </w:t>
      </w:r>
      <w:r>
        <w:t xml:space="preserve">While this letter includes the key economic points, the terms in this letter are only part of the definitive purchase agreement we will sign. You agree that this letter is non-binding (except for Sections 1–8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 xml:space="preserve">[date]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pPr>
        <w:pStyle w:val="ListParagraph"/>
        <w:numPr>
          <w:ilvl w:val="0"/>
          <w:numId w:val="4"/>
        </w:numPr>
        <w:spacing w:after="140" w:line="264" w:lineRule="auto"/>
        <w:jc w:val="both"/>
      </w:pPr>
      <w:r>
        <w:rPr>
          <w:b/>
          <w:bCs/>
        </w:rPr>
        <w:t xml:space="preserve">Reimbursement if we cannot come to an agreement: </w:t>
      </w:r>
      <w:r>
        <w:rPr>
          <w:highlight w:val="yellow"/>
        </w:rPr>
        <w:t xml:space="preserve">[We spend a significant amount of time and money whenever we go through the process of closing a transaction. We ask that if you decide not to sign a purchase agreement that includes the terms above and any others that we both agree to in writing by the expiration of the exclusivity period, you are responsible for reimbursing us for the cost of our accounting diligence expenses, up to $X. For the avoidance of doubt, this obligation applies only if you choose not to pursue the transaction at terms substantially similar to those above, and there is no reimbursement obligation if Topkey chooses not to pursue the transaction for any reason.]</w:t>
      </w:r>
      <w:r>
        <w:t xml:space="preserve"> (</w:t>
      </w:r>
      <w:r>
        <w:rPr>
          <w:highlight w:val="yellow"/>
        </w:rPr>
        <w:t xml:space="preserve">[Confirm whether Topkey wants to include this provision.]</w:t>
      </w:r>
      <w:r>
        <w:t xml:space="preserve">)</w:t>
      </w:r>
    </w:p>
    <w:p>
      <w:pPr>
        <w:pStyle w:val="ListParagraph"/>
        <w:numPr>
          <w:ilvl w:val="0"/>
          <w:numId w:val="4"/>
        </w:numPr>
        <w:spacing w:after="140" w:line="264" w:lineRule="auto"/>
        <w:jc w:val="both"/>
      </w:pPr>
      <w:r>
        <w:rPr>
          <w:b/>
          <w:bCs/>
        </w:rPr>
        <w:t xml:space="preserve">Termination: </w:t>
      </w:r>
      <w:r>
        <w:t xml:space="preserve">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pPr>
        <w:pStyle w:val="ListParagraph"/>
        <w:numPr>
          <w:ilvl w:val="0"/>
          <w:numId w:val="4"/>
        </w:numPr>
        <w:spacing w:after="140" w:line="264" w:lineRule="auto"/>
        <w:jc w:val="both"/>
      </w:pPr>
      <w:r>
        <w:rPr>
          <w:b/>
          <w:bCs/>
        </w:rPr>
        <w:t xml:space="preserve">Assignment: </w:t>
      </w:r>
      <w:r>
        <w:t xml:space="preserve">The rights and obligations of the parties under this Letter of Intent and the definitive transaction documents will not be assignable in whole or in part by either party without the other party’s prior written consent, which shall not be unreasonably withheld.</w:t>
      </w:r>
    </w:p>
    <w:p>
      <w:pPr>
        <w:pStyle w:val="ListParagraph"/>
        <w:numPr>
          <w:ilvl w:val="0"/>
          <w:numId w:val="4"/>
        </w:numPr>
        <w:spacing w:after="200" w:line="264" w:lineRule="auto"/>
        <w:jc w:val="both"/>
      </w:pPr>
      <w:r>
        <w:rPr>
          <w:b/>
          <w:bCs/>
        </w:rPr>
        <w:t xml:space="preserve">Governing Law: </w:t>
      </w:r>
      <w:r>
        <w:t xml:space="preserve">This Letter of Intent and any claims arising out of or relating hereto shall be deemed to be made in and in all respects shall be interpreted, construed, and governed by and in accordance with the laws of the State of </w:t>
      </w:r>
      <w:r>
        <w:rPr>
          <w:highlight w:val="yellow"/>
        </w:rPr>
        <w:t xml:space="preserve">[Delaware]</w:t>
      </w:r>
      <w:r>
        <w:t xml:space="preserve"> without regard to conflict of law principles.</w:t>
      </w:r>
    </w:p>
    <w:p>
      <w:pPr>
        <w:spacing w:after="200" w:before="200"/>
        <w:jc w:val="center"/>
      </w:pPr>
      <w:r>
        <w:rPr>
          <w:i/>
          <w:iCs/>
        </w:rPr>
        <w:t xml:space="preserve">[Signatures on the following page]</w:t>
      </w:r>
    </w:p>
    <w:p>
      <w:pPr>
        <w:pageBreakBefore/>
      </w:pPr>
    </w:p>
    <w:p>
      <w:pPr>
        <w:spacing w:after="140" w:before="280"/>
      </w:pPr>
      <w:r>
        <w:rPr>
          <w:b/>
          <w:bCs/>
          <w:color w:val="7A0000"/>
          <w:sz w:val="24"/>
          <w:szCs w:val="24"/>
          <w:u w:val="single"/>
        </w:rPr>
        <w:t xml:space="preserve">Signatures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D8D0C6" w:sz="4"/>
              <w:left w:val="single" w:color="D8D0C6" w:sz="4"/>
              <w:bottom w:val="single" w:color="D8D0C6" w:sz="4"/>
              <w:right w:val="single" w:color="D8D0C6" w:sz="4"/>
            </w:tcBorders>
            <w:shd w:fill="F2EEE9" w:color="auto" w:val="clear"/>
            <w:tcMar>
              <w:top w:type="dxa" w:w="100"/>
              <w:left w:type="dxa" w:w="120"/>
              <w:bottom w:type="dxa" w:w="100"/>
              <w:right w:type="dxa" w:w="120"/>
            </w:tcMar>
          </w:tcPr>
          <w:p>
            <w:r>
              <w:rPr>
                <w:b/>
                <w:bCs/>
              </w:rPr>
              <w:t xml:space="preserve">Keystone Bookkeepers, </w:t>
            </w:r>
            <w:r>
              <w:rPr>
                <w:highlight w:val="yellow"/>
              </w:rPr>
              <w:t xml:space="preserve">[entity type, state of formation and headquarters to be confirmed]</w:t>
            </w:r>
          </w:p>
        </w:tc>
      </w:tr>
      <w:tr>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By: ______________________________</w:t>
            </w:r>
          </w:p>
          <w:p>
            <w:pPr>
              <w:spacing w:after="0" w:line="264" w:lineRule="auto"/>
            </w:pPr>
            <w:r>
              <w:t xml:space="preserve"/>
            </w:r>
          </w:p>
          <w:p>
            <w:pPr>
              <w:spacing w:after="0" w:line="264" w:lineRule="auto"/>
            </w:pPr>
            <w:r>
              <w:t xml:space="preserve">Name: </w:t>
            </w:r>
            <w:r>
              <w:rPr>
                <w:highlight w:val="yellow"/>
              </w:rPr>
              <w:t xml:space="preserve">[Ben — full legal name]</w:t>
            </w:r>
          </w:p>
          <w:p>
            <w:pPr>
              <w:spacing w:after="0" w:line="264" w:lineRule="auto"/>
            </w:pPr>
            <w:r>
              <w:t xml:space="preserve">Its: </w:t>
            </w:r>
            <w:r>
              <w:rPr>
                <w:highlight w:val="yellow"/>
              </w:rPr>
              <w:t xml:space="preserve">[Owner]</w:t>
            </w:r>
          </w:p>
        </w:tc>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
            </w:r>
          </w:p>
        </w:tc>
      </w:tr>
      <w:tr>
        <w:tc>
          <w:tcPr>
            <w:tcW w:type="dxa" w:w="10080"/>
            <w:gridSpan w:val="2"/>
            <w:tcBorders>
              <w:top w:val="single" w:color="D8D0C6" w:sz="4"/>
              <w:left w:val="single" w:color="D8D0C6" w:sz="4"/>
              <w:bottom w:val="single" w:color="D8D0C6" w:sz="4"/>
              <w:right w:val="single" w:color="D8D0C6" w:sz="4"/>
            </w:tcBorders>
            <w:shd w:fill="F2EEE9" w:color="auto" w:val="clear"/>
            <w:tcMar>
              <w:top w:type="dxa" w:w="100"/>
              <w:left w:type="dxa" w:w="120"/>
              <w:bottom w:type="dxa" w:w="100"/>
              <w:right w:type="dxa" w:w="120"/>
            </w:tcMar>
          </w:tcPr>
          <w:p>
            <w:r>
              <w:rPr>
                <w:b/>
                <w:bCs/>
              </w:rPr>
              <w:t xml:space="preserve">Topkey, </w:t>
            </w:r>
            <w:r>
              <w:rPr>
                <w:highlight w:val="yellow"/>
              </w:rPr>
              <w:t xml:space="preserve">[full legal entity name, state of formation and headquarters to be confirmed]</w:t>
            </w:r>
          </w:p>
        </w:tc>
      </w:tr>
      <w:tr>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By: ______________________________</w:t>
            </w:r>
          </w:p>
          <w:p>
            <w:pPr>
              <w:spacing w:after="0" w:line="264" w:lineRule="auto"/>
            </w:pPr>
            <w:r>
              <w:t xml:space="preserve"/>
            </w:r>
          </w:p>
          <w:p>
            <w:pPr>
              <w:spacing w:after="0" w:line="264" w:lineRule="auto"/>
            </w:pPr>
            <w:r>
              <w:t xml:space="preserve">Name: </w:t>
            </w:r>
            <w:r>
              <w:rPr>
                <w:highlight w:val="yellow"/>
              </w:rPr>
              <w:t xml:space="preserve">[name]</w:t>
            </w:r>
          </w:p>
          <w:p>
            <w:pPr>
              <w:spacing w:after="0" w:line="264" w:lineRule="auto"/>
            </w:pPr>
            <w:r>
              <w:t xml:space="preserve">Its: </w:t>
            </w:r>
            <w:r>
              <w:rPr>
                <w:highlight w:val="yellow"/>
              </w:rPr>
              <w:t xml:space="preserve">[title]</w:t>
            </w:r>
          </w:p>
        </w:tc>
        <w:tc>
          <w:tcPr>
            <w:tcW w:type="dxa" w:w="5040"/>
            <w:tcBorders>
              <w:top w:val="single" w:color="D8D0C6" w:sz="4"/>
              <w:left w:val="single" w:color="D8D0C6" w:sz="4"/>
              <w:bottom w:val="single" w:color="D8D0C6" w:sz="4"/>
              <w:right w:val="single" w:color="D8D0C6" w:sz="4"/>
            </w:tcBorders>
            <w:tcMar>
              <w:top w:type="dxa" w:w="80"/>
              <w:left w:type="dxa" w:w="120"/>
              <w:bottom w:type="dxa" w:w="80"/>
              <w:right w:type="dxa" w:w="120"/>
            </w:tcMar>
          </w:tcPr>
          <w:p>
            <w:pPr>
              <w:spacing w:after="0" w:line="264" w:lineRule="auto"/>
            </w:pPr>
            <w:r>
              <w:t xml:space="preserve">By: ______________________________</w:t>
            </w:r>
          </w:p>
          <w:p>
            <w:pPr>
              <w:spacing w:after="0" w:line="264" w:lineRule="auto"/>
            </w:pPr>
            <w:r>
              <w:t xml:space="preserve"/>
            </w:r>
          </w:p>
          <w:p>
            <w:pPr>
              <w:spacing w:after="0" w:line="264" w:lineRule="auto"/>
            </w:pPr>
            <w:r>
              <w:t xml:space="preserve">Name: </w:t>
            </w:r>
            <w:r>
              <w:rPr>
                <w:highlight w:val="yellow"/>
              </w:rPr>
              <w:t xml:space="preserve">[name]</w:t>
            </w:r>
          </w:p>
          <w:p>
            <w:pPr>
              <w:spacing w:after="0" w:line="264" w:lineRule="auto"/>
            </w:pPr>
            <w:r>
              <w:t xml:space="preserve">Its: </w:t>
            </w:r>
            <w:r>
              <w:rPr>
                <w:highlight w:val="yellow"/>
              </w:rPr>
              <w:t xml:space="preserve">[title]</w:t>
            </w:r>
          </w:p>
        </w:tc>
      </w:tr>
    </w:tbl>
    <w:p>
      <w:pPr>
        <w:spacing w:before="320"/>
        <w:jc w:val="both"/>
      </w:pPr>
      <w:r>
        <w:rPr>
          <w:i/>
          <w:iCs/>
          <w:color w:val="595959"/>
          <w:sz w:val="16"/>
          <w:szCs w:val="16"/>
        </w:rPr>
        <w:t xml:space="preserve">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headerReference w:type="default" r:id="rId7"/>
      <w:footerReference w:type="default" r:id="rId8"/>
      <w:pgSz w:w="12240" w:h="15840"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Confidential | Non-Binding Draft</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9A0033" w:color="auto" w:val="clear"/>
      <w:spacing w:after="240"/>
      <w:jc w:val="center"/>
    </w:pPr>
    <w:r>
      <w:rPr>
        <w:b/>
        <w:bCs/>
        <w:color w:val="FFFFFF"/>
        <w:sz w:val="20"/>
        <w:szCs w:val="20"/>
      </w:rPr>
      <w:t xml:space="preserve">CONFIDENTIAL  —  LETTER OF INTENT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60" w:hanging="460"/>
      </w:pPr>
    </w:lvl>
    <w:lvl w:ilvl="1" w15:tentative="1">
      <w:start w:val="1"/>
      <w:numFmt w:val="lowerLetter"/>
      <w:lvlText w:val="%2."/>
      <w:lvlJc w:val="left"/>
      <w:pPr>
        <w:ind w:left="900" w:hanging="400"/>
      </w:pPr>
    </w:lvl>
    <w:lvl w:ilvl="2" w15:tentative="1">
      <w:start w:val="1"/>
      <w:numFmt w:val="lowerRoman"/>
      <w:lvlText w:val="%3."/>
      <w:lvlJc w:val="right"/>
      <w:pPr>
        <w:ind w:left="1340" w:hanging="32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2026-09-21T17:41:39.796Z</dcterms:created>
  <dcterms:modified xsi:type="dcterms:W3CDTF">2026-09-21T17:41:39.808Z</dcterms:modified>
</cp:coreProperties>
</file>

<file path=docProps/custom.xml><?xml version="1.0" encoding="utf-8"?>
<Properties xmlns="http://schemas.openxmlformats.org/officeDocument/2006/custom-properties" xmlns:vt="http://schemas.openxmlformats.org/officeDocument/2006/docPropsVTypes"/>
</file>