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Valuation &amp; Consideration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Total Valuation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$3,000,000</w:t>
            </w:r>
            <w:r>
              <w:t xml:space="preserve"> (1.0x run-rate recurring revenue)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Cash at Close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$500,000</w:t>
            </w:r>
            <w:r>
              <w:t xml:space="preserve"> (17% of valuation)</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Topkey Equity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$2,500,000</w:t>
            </w:r>
            <w:r>
              <w:t xml:space="preserve"> (83% of valuation), paid in newly issued Topkey shares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Balance Sheet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Cash-free, debt-free, with a normalized level of working capital delivered at close</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Tax Treatment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Structured so the equity portion is tax-deferred to Ben, with the cash portion taxable at closing. The specific structure is subject to confirmation by tax counsel and to Keystone's S corporation details.</w:t>
            </w:r>
          </w:p>
        </w:tc>
      </w:tr>
    </w:tbl>
    <w:p>
      <w:pPr>
        <w:pStyle w:val="Heading1"/>
      </w:pPr>
      <w:r>
        <w:t>Ben's Role &amp; Compensation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Title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highlight w:val="yellow"/>
              </w:rPr>
              <w:t>Accounting Director</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Base Salary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rPr>
                <w:highlight w:val="yellow"/>
              </w:rPr>
            </w:pPr>
            <w:r>
              <w:rPr>
                <w:b/>
                <w:bCs/>
                <w:highlight w:val="yellow"/>
              </w:rPr>
              <w:t>$150,000</w:t>
            </w:r>
            <w:r>
              <w:rPr>
                <w:highlight w:val="yellow"/>
              </w:rPr>
              <w:t xml:space="preserve"> per year</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Client Growth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rPr>
                <w:highlight w:val="yellow"/>
              </w:rPr>
            </w:pPr>
            <w:r>
              <w:rPr>
                <w:b/>
                <w:bCs/>
                <w:highlight w:val="yellow"/>
              </w:rPr>
              <w:t>$50,000</w:t>
            </w:r>
            <w:r>
              <w:rPr>
                <w:highlight w:val="yellow"/>
              </w:rPr>
              <w:t xml:space="preserve"> per year for achieving the annual customer growth target</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Employee Retention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rPr>
                <w:highlight w:val="yellow"/>
              </w:rPr>
            </w:pPr>
            <w:r>
              <w:rPr>
                <w:b/>
                <w:bCs/>
                <w:highlight w:val="yellow"/>
              </w:rPr>
              <w:t>$50,000</w:t>
            </w:r>
            <w:r>
              <w:rPr>
                <w:highlight w:val="yellow"/>
              </w:rPr>
              <w:t xml:space="preserve"> per year for achieving the annual employee retention target</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Annual Earning Potential</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b/>
                <w:bCs/>
              </w:rPr>
              <w:t>Up to $250,000</w:t>
            </w:r>
            <w:r>
              <w:t xml:space="preserve"> per year</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Work Location &amp; Schedule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Fully remote. </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Benefits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rPr>
                <w:highlight w:val="yellow"/>
              </w:rPr>
            </w:pPr>
            <w:r>
              <w:rPr>
                <w:highlight w:val="yellow"/>
              </w:rPr>
              <w:t>Eligible for Topkey benefit plans on the same basis as other Topkey executives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Employment Term</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rPr>
                <w:highlight w:val="yellow"/>
              </w:rPr>
              <w:t>[5]</w:t>
            </w:r>
            <w:r>
              <w:t>-year employment agreement</w:t>
            </w:r>
          </w:p>
        </w:tc>
      </w:tr>
    </w:tbl>
    <w:p>
      <w:pPr>
        <w:spacing w:after="80"/>
      </w:pPr>
    </w:p>
    <w:p>
      <w:pPr>
        <w:pStyle w:val="Heading2"/>
      </w:pPr>
      <w:r>
        <w:t>Bonus Target Framework</w:t>
      </w:r>
    </w:p>
    <w:p>
      <w:pPr>
        <w:pStyle w:val="ListParagraph"/>
        <w:numPr>
          <w:ilvl w:val="0"/>
          <w:numId w:val="2"/>
        </w:numPr>
        <w:spacing w:after="30" w:line="240" w:lineRule="auto"/>
      </w:pPr>
      <w:r>
        <w:rPr>
          <w:b/>
          <w:bCs/>
        </w:rPr>
        <w:t>Client growth target:</w:t>
      </w:r>
      <w:r>
        <w:t xml:space="preserve"> Net recurring revenue growth of </w:t>
      </w:r>
      <w:r>
        <w:rPr>
          <w:highlight w:val="yellow"/>
        </w:rPr>
        <w:t>[20]</w:t>
      </w:r>
      <w:r>
        <w:t xml:space="preserve">% over the prior calendar year, measured as new client revenue less churned client revenue. </w:t>
      </w:r>
    </w:p>
    <w:p>
      <w:pPr>
        <w:pStyle w:val="ListParagraph"/>
        <w:numPr>
          <w:ilvl w:val="0"/>
          <w:numId w:val="2"/>
        </w:numPr>
        <w:spacing w:after="30" w:line="240" w:lineRule="auto"/>
      </w:pPr>
      <w:r>
        <w:rPr>
          <w:b/>
          <w:bCs/>
        </w:rPr>
        <w:t>Employee retention target:</w:t>
      </w:r>
      <w:r>
        <w:t xml:space="preserve"> Annual employee retention of </w:t>
      </w:r>
      <w:r>
        <w:rPr>
          <w:highlight w:val="yellow"/>
        </w:rPr>
        <w:t>[</w:t>
      </w:r>
      <w:commentRangeStart w:id="0"/>
      <w:r>
        <w:rPr>
          <w:highlight w:val="yellow"/>
        </w:rPr>
        <w:t>8</w:t>
      </w:r>
      <w:commentRangeEnd w:id="0"/>
      <w:r>
        <w:rPr>
          <w:rStyle w:val="CommentReference"/>
          <w:sz w:val="22"/>
          <w:szCs w:val="22"/>
          <w:highlight w:val="yellow"/>
        </w:rPr>
        <w:commentReference w:id="0"/>
      </w:r>
      <w:r>
        <w:rPr>
          <w:highlight w:val="yellow"/>
        </w:rPr>
        <w:t>5]</w:t>
      </w:r>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 xml:space="preserve">-day evaluation period, so Keystone's hire-and-evaluate recruiting model is not penalized. </w:t>
      </w:r>
    </w:p>
    <w:p>
      <w:pPr>
        <w:pStyle w:val="ListParagraph"/>
        <w:numPr>
          <w:ilvl w:val="0"/>
          <w:numId w:val="2"/>
        </w:numPr>
        <w:spacing w:after="30" w:line="240" w:lineRule="auto"/>
      </w:pPr>
      <w:r>
        <w:t xml:space="preserve">Each bonus is earned independently and paid within </w:t>
      </w:r>
      <w:r>
        <w:rPr>
          <w:highlight w:val="yellow"/>
        </w:rPr>
        <w:t>[60]</w:t>
      </w:r>
      <w:r>
        <w:t xml:space="preserve"> days after year-end. The first measurement period is calendar year 2027.</w:t>
      </w:r>
    </w:p>
    <w:p>
      <w:pPr>
        <w:pStyle w:val="ListParagraph"/>
        <w:numPr>
          <w:ilvl w:val="0"/>
          <w:numId w:val="2"/>
        </w:numPr>
        <w:spacing w:after="30" w:line="240" w:lineRule="auto"/>
      </w:pPr>
      <w:r>
        <w:t xml:space="preserve">Specific targets are set jointly with Ben as part of the annual budget. </w:t>
      </w:r>
      <w:r>
        <w:rPr>
          <w:highlight w:val="yellow"/>
        </w:rPr>
        <w:t>[Partial payout for partial achievement]</w:t>
      </w:r>
      <w:r>
        <w:t xml:space="preserve"> to be discussed.</w:t>
      </w:r>
    </w:p>
    <w:p>
      <w:pPr>
        <w:pStyle w:val="Heading1"/>
      </w:pPr>
      <w:r>
        <w:t>Topkey Equity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Ownership</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Approximately </w:t>
            </w:r>
            <w:r>
              <w:rPr>
                <w:highlight w:val="yellow"/>
              </w:rPr>
              <w:t>[5.0]</w:t>
            </w:r>
            <w:r>
              <w:t xml:space="preserve">% of Topkey, based on </w:t>
            </w:r>
            <w:r>
              <w:rPr>
                <w:highlight w:val="yellow"/>
              </w:rPr>
              <w:t>[Topkey's most recent post-money valuation of $50M]</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Issuance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Shares issued in full at closing</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Continuity Protection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tc>
      </w:tr>
      <w:tr>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pPr>
            <w:r>
              <w:rPr>
                <w:b/>
                <w:bCs/>
                <w:color w:val="1A1A1A"/>
              </w:rPr>
              <w:t>Holder Rights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pPr>
            <w:r>
              <w:t xml:space="preserve">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tc>
      </w:tr>
    </w:tbl>
    <w:p>
      <w:pPr>
        <w:pStyle w:val="Heading1"/>
      </w:pPr>
      <w:r>
        <w:lastRenderedPageBreak/>
        <w:t>Operating Decisions</w:t>
      </w:r>
    </w:p>
    <w:p>
      <w:pPr>
        <w:spacing w:after="100" w:line="264" w:lineRule="auto"/>
      </w:pPr>
      <w:r>
        <w:t xml:space="preserve">Ben continues to run Keystone day to day. Topkey's role is to add engineering, capital and thought partnership, not to manage the business.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trPr>
          <w:tblHeader/>
        </w:trPr>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pPr>
              <w:spacing w:after="20"/>
            </w:pPr>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pPr>
              <w:spacing w:after="20"/>
            </w:pPr>
            <w:r>
              <w:rPr>
                <w:b/>
                <w:bCs/>
                <w:color w:val="FFFFFF"/>
              </w:rPr>
              <w:t>Requires Topkey Approval</w:t>
            </w:r>
          </w:p>
        </w:tc>
      </w:tr>
      <w:tr>
        <w:trPr>
          <w:cantSplit/>
        </w:trPr>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2"/>
              </w:numPr>
              <w:spacing w:after="20"/>
            </w:pPr>
            <w:r>
              <w:t>Day-to-day operations and client service delivery</w:t>
            </w:r>
          </w:p>
          <w:p>
            <w:pPr>
              <w:pStyle w:val="ListParagraph"/>
              <w:numPr>
                <w:ilvl w:val="0"/>
                <w:numId w:val="2"/>
              </w:numPr>
              <w:spacing w:after="20"/>
            </w:pPr>
            <w:r>
              <w:t>Pod structure, staffing levels, and hiring and termination decisions within the approved budget</w:t>
            </w:r>
          </w:p>
          <w:p>
            <w:pPr>
              <w:pStyle w:val="ListParagraph"/>
              <w:numPr>
                <w:ilvl w:val="0"/>
                <w:numId w:val="2"/>
              </w:numPr>
              <w:spacing w:after="20"/>
            </w:pPr>
            <w:r>
              <w:t>Team compensation, KPIs and bonus programs within budget</w:t>
            </w:r>
          </w:p>
          <w:p>
            <w:pPr>
              <w:pStyle w:val="ListParagraph"/>
              <w:numPr>
                <w:ilvl w:val="0"/>
                <w:numId w:val="2"/>
              </w:numPr>
              <w:spacing w:after="20"/>
            </w:pPr>
            <w:r>
              <w:t>Recruiting approach and management of the offshore team</w:t>
            </w:r>
          </w:p>
          <w:p>
            <w:pPr>
              <w:pStyle w:val="ListParagraph"/>
              <w:numPr>
                <w:ilvl w:val="0"/>
                <w:numId w:val="2"/>
              </w:numPr>
              <w:spacing w:after="20"/>
            </w:pPr>
            <w:r>
              <w:t>Client acceptance criteria, onboarding and service standards</w:t>
            </w:r>
          </w:p>
          <w:p>
            <w:pPr>
              <w:pStyle w:val="ListParagraph"/>
              <w:numPr>
                <w:ilvl w:val="0"/>
                <w:numId w:val="2"/>
              </w:numPr>
              <w:spacing w:after="20"/>
            </w:pPr>
            <w:r>
              <w:t>Service pricing within the approved pricing guidelines</w:t>
            </w:r>
          </w:p>
          <w:p>
            <w:pPr>
              <w:pStyle w:val="ListParagraph"/>
              <w:numPr>
                <w:ilvl w:val="0"/>
                <w:numId w:val="2"/>
              </w:numPr>
              <w:spacing w:after="20"/>
            </w:pPr>
            <w:r>
              <w:t>Marketing, content and conference presence within budget</w:t>
            </w:r>
          </w:p>
          <w:p>
            <w:pPr>
              <w:pStyle w:val="ListParagraph"/>
              <w:numPr>
                <w:ilvl w:val="0"/>
                <w:numId w:val="2"/>
              </w:numPr>
              <w:spacing w:after="20"/>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2"/>
              </w:numPr>
              <w:spacing w:after="20"/>
            </w:pPr>
            <w:r>
              <w:t>Annual operating budget and headcount plan</w:t>
            </w:r>
          </w:p>
          <w:p>
            <w:pPr>
              <w:pStyle w:val="ListParagraph"/>
              <w:numPr>
                <w:ilvl w:val="0"/>
                <w:numId w:val="2"/>
              </w:numPr>
              <w:spacing w:after="20"/>
            </w:pPr>
            <w:r>
              <w:t>New hires or compensation changes above $</w:t>
            </w:r>
            <w:r>
              <w:rPr>
                <w:highlight w:val="yellow"/>
              </w:rPr>
              <w:t>[80,000]</w:t>
            </w:r>
            <w:r>
              <w:t xml:space="preserve"> per year</w:t>
            </w:r>
          </w:p>
          <w:p>
            <w:pPr>
              <w:pStyle w:val="ListParagraph"/>
              <w:numPr>
                <w:ilvl w:val="0"/>
                <w:numId w:val="2"/>
              </w:numPr>
              <w:spacing w:after="20"/>
            </w:pPr>
            <w:r>
              <w:t>Software or vendor contracts above $</w:t>
            </w:r>
            <w:r>
              <w:rPr>
                <w:highlight w:val="yellow"/>
              </w:rPr>
              <w:t>[10,000]</w:t>
            </w:r>
            <w:r>
              <w:t xml:space="preserve"> per year, and changes to the core tech stack</w:t>
            </w:r>
          </w:p>
          <w:p>
            <w:pPr>
              <w:pStyle w:val="ListParagraph"/>
              <w:numPr>
                <w:ilvl w:val="0"/>
                <w:numId w:val="2"/>
              </w:numPr>
              <w:spacing w:after="20"/>
            </w:pPr>
            <w:r>
              <w:t>Debt, capital expenditures, guarantees or liens</w:t>
            </w:r>
          </w:p>
          <w:p>
            <w:pPr>
              <w:pStyle w:val="ListParagraph"/>
              <w:numPr>
                <w:ilvl w:val="0"/>
                <w:numId w:val="2"/>
              </w:numPr>
              <w:spacing w:after="20"/>
            </w:pPr>
            <w:r>
              <w:t>Acquisitions, new entities or new service lines</w:t>
            </w:r>
          </w:p>
          <w:p>
            <w:pPr>
              <w:pStyle w:val="ListParagraph"/>
              <w:numPr>
                <w:ilvl w:val="0"/>
                <w:numId w:val="2"/>
              </w:numPr>
              <w:spacing w:after="20"/>
            </w:pPr>
            <w:r>
              <w:t>Related-party transactions</w:t>
            </w:r>
          </w:p>
          <w:p>
            <w:pPr>
              <w:pStyle w:val="ListParagraph"/>
              <w:numPr>
                <w:ilvl w:val="0"/>
                <w:numId w:val="2"/>
              </w:numPr>
              <w:spacing w:after="20"/>
            </w:pPr>
            <w:r>
              <w:t xml:space="preserve">Material pricing changes (more than </w:t>
            </w:r>
            <w:r>
              <w:rPr>
                <w:highlight w:val="yellow"/>
              </w:rPr>
              <w:t>[5]</w:t>
            </w:r>
            <w:r>
              <w:t>%) or non-standard client contract terms</w:t>
            </w:r>
          </w:p>
          <w:p>
            <w:pPr>
              <w:pStyle w:val="ListParagraph"/>
              <w:numPr>
                <w:ilvl w:val="0"/>
                <w:numId w:val="2"/>
              </w:numPr>
              <w:spacing w:after="20"/>
            </w:pPr>
            <w:r>
              <w:t>Distributions, equity issuances, sale of material assets</w:t>
            </w:r>
          </w:p>
          <w:p>
            <w:pPr>
              <w:pStyle w:val="ListParagraph"/>
              <w:numPr>
                <w:ilvl w:val="0"/>
                <w:numId w:val="2"/>
              </w:numPr>
              <w:spacing w:after="20"/>
            </w:pPr>
            <w:r>
              <w:t>Litigation and settlements</w:t>
            </w:r>
          </w:p>
        </w:tc>
      </w:tr>
    </w:tbl>
    <w:p>
      <w:pPr>
        <w:pStyle w:val="Heading2"/>
      </w:pPr>
      <w:r>
        <w:t>What Changes After Closing</w:t>
      </w:r>
    </w:p>
    <w:p>
      <w:pPr>
        <w:pStyle w:val="ListParagraph"/>
        <w:numPr>
          <w:ilvl w:val="0"/>
          <w:numId w:val="2"/>
        </w:numPr>
        <w:spacing w:after="30" w:line="240" w:lineRule="auto"/>
      </w:pPr>
      <w:r>
        <w:rPr>
          <w:b/>
          <w:bCs/>
        </w:rPr>
        <w:t>Financial reporting:</w:t>
      </w:r>
      <w:r>
        <w:t xml:space="preserve"> Keystone completes a monthly close and reports results to Topkey's finance team. Keystone also operates against an annual budget that Ben prepares and Topkey approves.</w:t>
      </w:r>
    </w:p>
    <w:p>
      <w:pPr>
        <w:pStyle w:val="ListParagraph"/>
        <w:numPr>
          <w:ilvl w:val="0"/>
          <w:numId w:val="2"/>
        </w:numPr>
        <w:spacing w:after="30" w:line="240" w:lineRule="auto"/>
      </w:pPr>
      <w:r>
        <w:rPr>
          <w:b/>
          <w:bCs/>
        </w:rPr>
        <w:t>Technology:</w:t>
      </w:r>
      <w:r>
        <w:t xml:space="preserve"> Topkey’s engineering team leads development alongside Keystone’s operators. Keystone’s internally built tools, including Arch, carry forward onto the Topkey roadmap, and outsourced development work transitions to Topkey.</w:t>
      </w:r>
    </w:p>
    <w:p>
      <w:pPr>
        <w:pStyle w:val="ListParagraph"/>
        <w:numPr>
          <w:ilvl w:val="0"/>
          <w:numId w:val="2"/>
        </w:numPr>
        <w:spacing w:after="30" w:line="240" w:lineRule="auto"/>
      </w:pPr>
      <w:r>
        <w:rPr>
          <w:b/>
          <w:bCs/>
        </w:rPr>
        <w:t>Software stack:</w:t>
      </w:r>
      <w:r>
        <w:t xml:space="preserve"> Where Topkey offers an equivalent or better product (for example, trust accounting in place of VR Platform), tools migrate to Topkey on a jointly planned, phased timeline. Clients are not moved until the product is ready.</w:t>
      </w:r>
    </w:p>
    <w:p>
      <w:pPr>
        <w:pStyle w:val="ListParagraph"/>
        <w:numPr>
          <w:ilvl w:val="0"/>
          <w:numId w:val="2"/>
        </w:numPr>
        <w:spacing w:after="30" w:line="240" w:lineRule="auto"/>
      </w:pPr>
      <w:r>
        <w:rPr>
          <w:b/>
          <w:bCs/>
        </w:rPr>
        <w:t>Banking and payments:</w:t>
      </w:r>
      <w:r>
        <w:t xml:space="preserve"> </w:t>
      </w:r>
      <w:r>
        <w:rPr>
          <w:highlight w:val="yellow"/>
        </w:rPr>
        <w:t>Keystone operating accounts move to Topkey's banking platform</w:t>
      </w:r>
      <w:r>
        <w:t>.</w:t>
      </w:r>
    </w:p>
    <w:p>
      <w:pPr>
        <w:pStyle w:val="ListParagraph"/>
        <w:numPr>
          <w:ilvl w:val="0"/>
          <w:numId w:val="2"/>
        </w:numPr>
        <w:spacing w:after="30" w:line="240" w:lineRule="auto"/>
      </w:pPr>
      <w:r>
        <w:rPr>
          <w:b/>
          <w:bCs/>
        </w:rPr>
        <w:t>Brand:</w:t>
      </w:r>
      <w:r>
        <w:t xml:space="preserve"> </w:t>
      </w:r>
      <w:r>
        <w:rPr>
          <w:highlight w:val="yellow"/>
        </w:rPr>
        <w:t xml:space="preserve">[Keystone begins operating under the Topkey brand, with roll-out process to be decided jointly.]</w:t>
      </w:r>
    </w:p>
    <w:sectPr>
      <w:headerReference w:type="default" r:id="rId11"/>
      <w:footerReference w:type="default" r:id="rId12"/>
      <w:pgSz w:w="12240" w:h="15840"/>
      <w:pgMar w:top="1000" w:right="1080" w:bottom="10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k Moneymaker" w:date="2026-09-21T11:56:00Z" w:initials="FM">
    <w:p w14:paraId="176C9CD0" w14:textId="77777777" w:rsidR="00294818" w:rsidRDefault="00294818" w:rsidP="00294818">
      <w:pPr>
        <w:pStyle w:val="CommentText"/>
      </w:pPr>
      <w:r>
        <w:rPr>
          <w:rStyle w:val="CommentReference"/>
        </w:rPr>
        <w:annotationRef/>
      </w:r>
      <w:r>
        <w:t>FY2025 adj. employee retention: 79%</w:t>
      </w:r>
      <w:r>
        <w:br/>
        <w:t>YTD2026 adj. employee retention: 78%</w:t>
      </w:r>
      <w:r>
        <w:br/>
        <w:t>LTM Sep’26 adj. employee retention: 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C9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AF29F" w16cex:dateUtc="2026-09-21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C9CD0" w16cid:durableId="6F9AF2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0ED9" w14:textId="77777777" w:rsidR="00DC7E61" w:rsidRDefault="00DC7E61">
      <w:r>
        <w:separator/>
      </w:r>
    </w:p>
  </w:endnote>
  <w:endnote w:type="continuationSeparator" w:id="0">
    <w:p w14:paraId="3B64D920" w14:textId="77777777" w:rsidR="00DC7E61" w:rsidRDefault="00DC7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B90B" w14:textId="77777777" w:rsidR="00734060" w:rsidRDefault="00000000">
    <w:pPr>
      <w:tabs>
        <w:tab w:val="right" w:pos="10080"/>
      </w:tabs>
    </w:pPr>
    <w:r>
      <w:rPr>
        <w:color w:val="595959"/>
        <w:sz w:val="16"/>
        <w:szCs w:val="16"/>
      </w:rPr>
      <w:t>Confidential | Non-Binding Draft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471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0C97" w14:textId="77777777" w:rsidR="00DC7E61" w:rsidRDefault="00DC7E61">
      <w:r>
        <w:separator/>
      </w:r>
    </w:p>
  </w:footnote>
  <w:footnote w:type="continuationSeparator" w:id="0">
    <w:p w14:paraId="6428D9D2" w14:textId="77777777" w:rsidR="00DC7E61" w:rsidRDefault="00DC7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3910" w14:textId="542F5B65" w:rsidR="00FC4714" w:rsidRDefault="00FC4714" w:rsidP="00FC4714">
    <w:pPr>
      <w:pBdr>
        <w:bottom w:val="single" w:sz="18" w:space="4" w:color="9A0033"/>
      </w:pBdr>
      <w:spacing w:after="40"/>
      <w:jc w:val="center"/>
    </w:pPr>
    <w:r>
      <w:rPr>
        <w:b/>
        <w:bCs/>
        <w:color w:val="7A0000"/>
        <w:sz w:val="40"/>
        <w:szCs w:val="40"/>
      </w:rPr>
      <w:t>Topkey + Keystone</w:t>
    </w:r>
    <w:r w:rsidR="00783158">
      <w:rPr>
        <w:b/>
        <w:bCs/>
        <w:color w:val="7A0000"/>
        <w:sz w:val="40"/>
        <w:szCs w:val="40"/>
      </w:rPr>
      <w:t xml:space="preserve"> – Acquisition Offer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103"/>
    <w:multiLevelType w:val="hybridMultilevel"/>
    <w:tmpl w:val="D2E8A6EA"/>
    <w:lvl w:ilvl="0" w:tplc="EF10DF04">
      <w:start w:val="1"/>
      <w:numFmt w:val="bullet"/>
      <w:lvlText w:val="•"/>
      <w:lvlJc w:val="left"/>
      <w:pPr>
        <w:ind w:left="360" w:hanging="240"/>
      </w:pPr>
    </w:lvl>
    <w:lvl w:ilvl="1" w:tplc="30FCBAB6">
      <w:start w:val="1"/>
      <w:numFmt w:val="bullet"/>
      <w:lvlText w:val="–"/>
      <w:lvlJc w:val="left"/>
      <w:pPr>
        <w:ind w:left="720" w:hanging="240"/>
      </w:pPr>
    </w:lvl>
    <w:lvl w:ilvl="2" w:tplc="8F6A6DBC">
      <w:numFmt w:val="decimal"/>
      <w:lvlText w:val=""/>
      <w:lvlJc w:val="left"/>
    </w:lvl>
    <w:lvl w:ilvl="3" w:tplc="349E19EE">
      <w:numFmt w:val="decimal"/>
      <w:lvlText w:val=""/>
      <w:lvlJc w:val="left"/>
    </w:lvl>
    <w:lvl w:ilvl="4" w:tplc="179C348A">
      <w:numFmt w:val="decimal"/>
      <w:lvlText w:val=""/>
      <w:lvlJc w:val="left"/>
    </w:lvl>
    <w:lvl w:ilvl="5" w:tplc="0950A1CE">
      <w:numFmt w:val="decimal"/>
      <w:lvlText w:val=""/>
      <w:lvlJc w:val="left"/>
    </w:lvl>
    <w:lvl w:ilvl="6" w:tplc="05C848C6">
      <w:numFmt w:val="decimal"/>
      <w:lvlText w:val=""/>
      <w:lvlJc w:val="left"/>
    </w:lvl>
    <w:lvl w:ilvl="7" w:tplc="5990661A">
      <w:numFmt w:val="decimal"/>
      <w:lvlText w:val=""/>
      <w:lvlJc w:val="left"/>
    </w:lvl>
    <w:lvl w:ilvl="8" w:tplc="9182B236">
      <w:numFmt w:val="decimal"/>
      <w:lvlText w:val=""/>
      <w:lvlJc w:val="left"/>
    </w:lvl>
  </w:abstractNum>
  <w:abstractNum w:abstractNumId="1" w15:restartNumberingAfterBreak="0">
    <w:nsid w:val="6D03660C"/>
    <w:multiLevelType w:val="hybridMultilevel"/>
    <w:tmpl w:val="4C525FA4"/>
    <w:lvl w:ilvl="0" w:tplc="837A65E0">
      <w:start w:val="1"/>
      <w:numFmt w:val="bullet"/>
      <w:lvlText w:val="●"/>
      <w:lvlJc w:val="left"/>
      <w:pPr>
        <w:ind w:left="720" w:hanging="360"/>
      </w:pPr>
    </w:lvl>
    <w:lvl w:ilvl="1" w:tplc="B59A662E">
      <w:start w:val="1"/>
      <w:numFmt w:val="bullet"/>
      <w:lvlText w:val="○"/>
      <w:lvlJc w:val="left"/>
      <w:pPr>
        <w:ind w:left="1440" w:hanging="360"/>
      </w:pPr>
    </w:lvl>
    <w:lvl w:ilvl="2" w:tplc="88BC019C">
      <w:start w:val="1"/>
      <w:numFmt w:val="bullet"/>
      <w:lvlText w:val="■"/>
      <w:lvlJc w:val="left"/>
      <w:pPr>
        <w:ind w:left="2160" w:hanging="360"/>
      </w:pPr>
    </w:lvl>
    <w:lvl w:ilvl="3" w:tplc="051088EA">
      <w:start w:val="1"/>
      <w:numFmt w:val="bullet"/>
      <w:lvlText w:val="●"/>
      <w:lvlJc w:val="left"/>
      <w:pPr>
        <w:ind w:left="2880" w:hanging="360"/>
      </w:pPr>
    </w:lvl>
    <w:lvl w:ilvl="4" w:tplc="E72280D0">
      <w:start w:val="1"/>
      <w:numFmt w:val="bullet"/>
      <w:lvlText w:val="○"/>
      <w:lvlJc w:val="left"/>
      <w:pPr>
        <w:ind w:left="3600" w:hanging="360"/>
      </w:pPr>
    </w:lvl>
    <w:lvl w:ilvl="5" w:tplc="41048792">
      <w:start w:val="1"/>
      <w:numFmt w:val="bullet"/>
      <w:lvlText w:val="■"/>
      <w:lvlJc w:val="left"/>
      <w:pPr>
        <w:ind w:left="4320" w:hanging="360"/>
      </w:pPr>
    </w:lvl>
    <w:lvl w:ilvl="6" w:tplc="80ACAC1C">
      <w:start w:val="1"/>
      <w:numFmt w:val="bullet"/>
      <w:lvlText w:val="●"/>
      <w:lvlJc w:val="left"/>
      <w:pPr>
        <w:ind w:left="5040" w:hanging="360"/>
      </w:pPr>
    </w:lvl>
    <w:lvl w:ilvl="7" w:tplc="1DD8411C">
      <w:start w:val="1"/>
      <w:numFmt w:val="bullet"/>
      <w:lvlText w:val="●"/>
      <w:lvlJc w:val="left"/>
      <w:pPr>
        <w:ind w:left="5760" w:hanging="360"/>
      </w:pPr>
    </w:lvl>
    <w:lvl w:ilvl="8" w:tplc="281875A4">
      <w:start w:val="1"/>
      <w:numFmt w:val="bullet"/>
      <w:lvlText w:val="●"/>
      <w:lvlJc w:val="left"/>
      <w:pPr>
        <w:ind w:left="6480" w:hanging="360"/>
      </w:pPr>
    </w:lvl>
  </w:abstractNum>
  <w:num w:numId="1" w16cid:durableId="1163666576">
    <w:abstractNumId w:val="1"/>
    <w:lvlOverride w:ilvl="0">
      <w:startOverride w:val="1"/>
    </w:lvlOverride>
  </w:num>
  <w:num w:numId="2" w16cid:durableId="160159902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Moneymaker">
    <w15:presenceInfo w15:providerId="Windows Live" w15:userId="575a87886d856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64F"/>
  <w15:docId w15:val="{BB29A8E2-8D3B-45AA-8C23-A483CB6EA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100"/>
      <w:outlineLvl w:val="0"/>
    </w:pPr>
    <w:rPr>
      <w:b/>
      <w:bCs/>
      <w:color w:val="7A0000"/>
      <w:sz w:val="28"/>
      <w:szCs w:val="28"/>
    </w:rPr>
  </w:style>
  <w:style w:type="paragraph" w:styleId="Heading2">
    <w:name w:val="heading 2"/>
    <w:uiPriority w:val="9"/>
    <w:unhideWhenUsed/>
    <w:qFormat/>
    <w:pPr>
      <w:keepNext/>
      <w:spacing w:before="140" w:after="70"/>
      <w:outlineLvl w:val="1"/>
    </w:pPr>
    <w:rPr>
      <w:b/>
      <w:bCs/>
      <w:color w:val="9A0033"/>
      <w:sz w:val="23"/>
      <w:szCs w:val="23"/>
    </w:rPr>
  </w:style>
  <w:style w:type="paragraph" w:styleId="Heading3">
    <w:name w:val="heading 3"/>
    <w:uiPriority w:val="9"/>
    <w:semiHidden/>
    <w:unhideWhenUsed/>
    <w:qFormat/>
    <w:pPr>
      <w:outlineLvl w:val="2"/>
    </w:pPr>
    <w:rPr>
      <w:color w:val="7A0000"/>
      <w:sz w:val="24"/>
      <w:szCs w:val="24"/>
    </w:rPr>
  </w:style>
  <w:style w:type="paragraph" w:styleId="Heading4">
    <w:name w:val="heading 4"/>
    <w:uiPriority w:val="9"/>
    <w:semiHidden/>
    <w:unhideWhenUsed/>
    <w:qFormat/>
    <w:pPr>
      <w:outlineLvl w:val="3"/>
    </w:pPr>
    <w:rPr>
      <w:i/>
      <w:iCs/>
      <w:color w:val="9A0033"/>
    </w:rPr>
  </w:style>
  <w:style w:type="paragraph" w:styleId="Heading5">
    <w:name w:val="heading 5"/>
    <w:uiPriority w:val="9"/>
    <w:semiHidden/>
    <w:unhideWhenUsed/>
    <w:qFormat/>
    <w:pPr>
      <w:outlineLvl w:val="4"/>
    </w:pPr>
    <w:rPr>
      <w:color w:val="9A0033"/>
    </w:rPr>
  </w:style>
  <w:style w:type="paragraph" w:styleId="Heading6">
    <w:name w:val="heading 6"/>
    <w:uiPriority w:val="9"/>
    <w:semiHidden/>
    <w:unhideWhenUsed/>
    <w:qFormat/>
    <w:pPr>
      <w:outlineLvl w:val="5"/>
    </w:pPr>
    <w:rPr>
      <w:color w:val="7A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9A0033"/>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4714"/>
    <w:pPr>
      <w:tabs>
        <w:tab w:val="center" w:pos="4680"/>
        <w:tab w:val="right" w:pos="9360"/>
      </w:tabs>
    </w:pPr>
  </w:style>
  <w:style w:type="character" w:customStyle="1" w:styleId="HeaderChar">
    <w:name w:val="Header Char"/>
    <w:basedOn w:val="DefaultParagraphFont"/>
    <w:link w:val="Header"/>
    <w:uiPriority w:val="99"/>
    <w:rsid w:val="00FC4714"/>
  </w:style>
  <w:style w:type="paragraph" w:styleId="Footer">
    <w:name w:val="footer"/>
    <w:basedOn w:val="Normal"/>
    <w:link w:val="FooterChar"/>
    <w:uiPriority w:val="99"/>
    <w:unhideWhenUsed/>
    <w:rsid w:val="00FC4714"/>
    <w:pPr>
      <w:tabs>
        <w:tab w:val="center" w:pos="4680"/>
        <w:tab w:val="right" w:pos="9360"/>
      </w:tabs>
    </w:pPr>
  </w:style>
  <w:style w:type="character" w:customStyle="1" w:styleId="FooterChar">
    <w:name w:val="Footer Char"/>
    <w:basedOn w:val="DefaultParagraphFont"/>
    <w:link w:val="Footer"/>
    <w:uiPriority w:val="99"/>
    <w:rsid w:val="00FC4714"/>
  </w:style>
  <w:style w:type="character" w:styleId="CommentReference">
    <w:name w:val="annotation reference"/>
    <w:basedOn w:val="DefaultParagraphFont"/>
    <w:uiPriority w:val="99"/>
    <w:semiHidden/>
    <w:unhideWhenUsed/>
    <w:rsid w:val="00294818"/>
    <w:rPr>
      <w:sz w:val="16"/>
      <w:szCs w:val="16"/>
    </w:rPr>
  </w:style>
  <w:style w:type="paragraph" w:styleId="CommentText">
    <w:name w:val="annotation text"/>
    <w:basedOn w:val="Normal"/>
    <w:link w:val="CommentTextChar"/>
    <w:uiPriority w:val="99"/>
    <w:unhideWhenUsed/>
    <w:rsid w:val="00294818"/>
    <w:rPr>
      <w:sz w:val="20"/>
      <w:szCs w:val="20"/>
    </w:rPr>
  </w:style>
  <w:style w:type="character" w:customStyle="1" w:styleId="CommentTextChar">
    <w:name w:val="Comment Text Char"/>
    <w:basedOn w:val="DefaultParagraphFont"/>
    <w:link w:val="CommentText"/>
    <w:uiPriority w:val="99"/>
    <w:rsid w:val="00294818"/>
    <w:rPr>
      <w:sz w:val="20"/>
      <w:szCs w:val="20"/>
    </w:rPr>
  </w:style>
  <w:style w:type="paragraph" w:styleId="CommentSubject">
    <w:name w:val="annotation subject"/>
    <w:basedOn w:val="CommentText"/>
    <w:next w:val="CommentText"/>
    <w:link w:val="CommentSubjectChar"/>
    <w:uiPriority w:val="99"/>
    <w:semiHidden/>
    <w:unhideWhenUsed/>
    <w:rsid w:val="00294818"/>
    <w:rPr>
      <w:b/>
      <w:bCs/>
    </w:rPr>
  </w:style>
  <w:style w:type="character" w:customStyle="1" w:styleId="CommentSubjectChar">
    <w:name w:val="Comment Subject Char"/>
    <w:basedOn w:val="CommentTextChar"/>
    <w:link w:val="CommentSubject"/>
    <w:uiPriority w:val="99"/>
    <w:semiHidden/>
    <w:rsid w:val="002948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38994-0EB4-406E-8AA0-468BD6320CAA}">
  <we:reference id="wa200010453" version="1.0.0.1" store="en-US" storeType="OMEX"/>
  <we:alternateReferences>
    <we:reference id="WA200010453" version="1.0.0.1" store="" storeType="OMEX"/>
  </we:alternateReferences>
  <we:properties>
    <we:property name="claude.fileId" value="&quot;5b6afe90-b62e-40ae-8b70-67377acbaa1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1455</TotalTime>
  <Pages>3</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Topkey + Keystone Offer Outline v2</dc:title>
  <dc:creator>AMB Advisory Services</dc:creator>
  <cp:lastModifiedBy>Frank Moneymaker</cp:lastModifiedBy>
  <cp:revision>33</cp:revision>
  <dcterms:created xsi:type="dcterms:W3CDTF">2026-09-17T17:14:00Z</dcterms:created>
  <dcterms:modified xsi:type="dcterms:W3CDTF">2026-09-21T15:56:00Z</dcterms:modified>
</cp:coreProperties>
</file>