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 w:lineRule="auto"/>
        <w:rPr>
          <w:rFonts w:ascii="Times New Roman" w:cs="Times New Roman" w:eastAsia="Times New Roman" w:hAnsi="Times New Roman"/>
          <w:b w:val="1"/>
          <w:bCs w:val="1"/>
          <w:i w:val="1"/>
          <w:iCs w:val="1"/>
          <w:color w:val="7b0000"/>
          <w:sz w:val="32"/>
          <w:szCs w:val="32"/>
        </w:rPr>
      </w:pPr>
      <w:r w:rsidDel="00000000" w:rsidR="00000000" w:rsidRPr="00000000">
        <w:rPr>
          <w:rFonts w:ascii="Times New Roman" w:cs="Times New Roman" w:eastAsia="Times New Roman" w:hAnsi="Times New Roman"/>
          <w:b w:val="1"/>
          <w:bCs w:val="1"/>
          <w:color w:val="7b0000"/>
          <w:sz w:val="32"/>
          <w:szCs w:val="32"/>
          <w:rtl w:val="0"/>
        </w:rPr>
        <w:t xml:space="preserve">Quick Stats </w:t>
      </w:r>
      <w:r w:rsidDel="00000000" w:rsidR="00000000" w:rsidRPr="00000000">
        <w:rPr>
          <w:rFonts w:ascii="Times New Roman" w:cs="Times New Roman" w:eastAsia="Times New Roman" w:hAnsi="Times New Roman"/>
          <w:b w:val="1"/>
          <w:bCs w:val="1"/>
          <w:i w:val="1"/>
          <w:iCs w:val="1"/>
          <w:color w:val="7b0000"/>
          <w:sz w:val="32"/>
          <w:szCs w:val="32"/>
          <w:rtl w:val="0"/>
        </w:rPr>
        <w:t xml:space="preserve">(as of July 2026)</w:t>
      </w:r>
    </w:p>
    <w:p w:rsidR="00000000" w:rsidDel="00000000" w:rsidP="00000000" w:rsidRDefault="00000000" w:rsidRPr="00000000" w14:paraId="00000002">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LTM ARR: </w:t>
      </w:r>
      <w:r w:rsidDel="00000000" w:rsidR="00000000" w:rsidRPr="00000000">
        <w:rPr>
          <w:rFonts w:ascii="Times New Roman" w:cs="Times New Roman" w:eastAsia="Times New Roman" w:hAnsi="Times New Roman"/>
          <w:rtl w:val="0"/>
        </w:rPr>
        <w:t xml:space="preserve">$2.5M</w:t>
      </w:r>
    </w:p>
    <w:p w:rsidR="00000000" w:rsidDel="00000000" w:rsidP="00000000" w:rsidRDefault="00000000" w:rsidRPr="00000000" w14:paraId="00000003">
      <w:pPr>
        <w:spacing w:after="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 Forma ARR: </w:t>
      </w:r>
      <w:r w:rsidDel="00000000" w:rsidR="00000000" w:rsidRPr="00000000">
        <w:rPr>
          <w:rFonts w:ascii="Times New Roman" w:cs="Times New Roman" w:eastAsia="Times New Roman" w:hAnsi="Times New Roman"/>
          <w:rtl w:val="0"/>
        </w:rPr>
        <w:t xml:space="preserve">$3M</w:t>
      </w:r>
    </w:p>
    <w:p w:rsidR="00000000" w:rsidDel="00000000" w:rsidP="00000000" w:rsidRDefault="00000000" w:rsidRPr="00000000" w14:paraId="00000004">
      <w:pPr>
        <w:spacing w:after="0" w:before="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Reported EBITDA: </w:t>
      </w:r>
      <w:r w:rsidDel="00000000" w:rsidR="00000000" w:rsidRPr="00000000">
        <w:rPr>
          <w:rFonts w:ascii="Times New Roman" w:cs="Times New Roman" w:eastAsia="Times New Roman" w:hAnsi="Times New Roman"/>
          <w:rtl w:val="0"/>
        </w:rPr>
        <w:t xml:space="preserve">$116K </w:t>
      </w:r>
      <w:r w:rsidDel="00000000" w:rsidR="00000000" w:rsidRPr="00000000">
        <w:rPr>
          <w:rFonts w:ascii="Times New Roman" w:cs="Times New Roman" w:eastAsia="Times New Roman" w:hAnsi="Times New Roman"/>
          <w:i w:val="1"/>
          <w:iCs w:val="1"/>
          <w:rtl w:val="0"/>
        </w:rPr>
        <w:t xml:space="preserve">(4.6% margin)</w:t>
      </w:r>
    </w:p>
    <w:p w:rsidR="00000000" w:rsidDel="00000000" w:rsidP="00000000" w:rsidRDefault="00000000" w:rsidRPr="00000000" w14:paraId="00000005">
      <w:pPr>
        <w:spacing w:after="0" w:before="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Initial </w:t>
      </w:r>
      <w:r w:rsidDel="00000000" w:rsidR="00000000" w:rsidRPr="00000000">
        <w:rPr>
          <w:rFonts w:ascii="Times New Roman" w:cs="Times New Roman" w:eastAsia="Times New Roman" w:hAnsi="Times New Roman"/>
          <w:b w:val="1"/>
          <w:bCs w:val="1"/>
          <w:rtl w:val="0"/>
        </w:rPr>
        <w:t xml:space="preserve">Near-Term Adj. EBITDA: </w:t>
      </w:r>
      <w:r w:rsidDel="00000000" w:rsidR="00000000" w:rsidRPr="00000000">
        <w:rPr>
          <w:rFonts w:ascii="Times New Roman" w:cs="Times New Roman" w:eastAsia="Times New Roman" w:hAnsi="Times New Roman"/>
          <w:rtl w:val="0"/>
        </w:rPr>
        <w:t xml:space="preserve">$203K </w:t>
      </w:r>
      <w:r w:rsidDel="00000000" w:rsidR="00000000" w:rsidRPr="00000000">
        <w:rPr>
          <w:rFonts w:ascii="Times New Roman" w:cs="Times New Roman" w:eastAsia="Times New Roman" w:hAnsi="Times New Roman"/>
          <w:i w:val="1"/>
          <w:iCs w:val="1"/>
          <w:rtl w:val="0"/>
        </w:rPr>
        <w:t xml:space="preserve">(6.6% margin)</w:t>
      </w:r>
    </w:p>
    <w:p w:rsidR="00000000" w:rsidDel="00000000" w:rsidP="00000000" w:rsidRDefault="00000000" w:rsidRPr="00000000" w14:paraId="00000006">
      <w:pPr>
        <w:spacing w:before="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Initial Steady-State Adj. EBITDA: </w:t>
      </w:r>
      <w:r w:rsidDel="00000000" w:rsidR="00000000" w:rsidRPr="00000000">
        <w:rPr>
          <w:rFonts w:ascii="Times New Roman" w:cs="Times New Roman" w:eastAsia="Times New Roman" w:hAnsi="Times New Roman"/>
          <w:rtl w:val="0"/>
        </w:rPr>
        <w:t xml:space="preserve">$449K </w:t>
      </w:r>
      <w:r w:rsidDel="00000000" w:rsidR="00000000" w:rsidRPr="00000000">
        <w:rPr>
          <w:rFonts w:ascii="Times New Roman" w:cs="Times New Roman" w:eastAsia="Times New Roman" w:hAnsi="Times New Roman"/>
          <w:i w:val="1"/>
          <w:iCs w:val="1"/>
          <w:rtl w:val="0"/>
        </w:rPr>
        <w:t xml:space="preserve">(14.6% margin)</w:t>
      </w:r>
    </w:p>
    <w:p w:rsidR="00000000" w:rsidDel="00000000" w:rsidP="00000000" w:rsidRDefault="00000000" w:rsidRPr="00000000" w14:paraId="00000007">
      <w:pPr>
        <w:spacing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Initial earnings figures are pending verification via Seller &amp; Client discussion sessions</w:t>
      </w:r>
    </w:p>
    <w:p w:rsidR="00000000" w:rsidDel="00000000" w:rsidP="00000000" w:rsidRDefault="00000000" w:rsidRPr="00000000" w14:paraId="00000008">
      <w:pPr>
        <w:spacing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Near-Term Adj. EBITDA accounts for personnel &amp; software changes made within the first year post-close</w:t>
      </w:r>
    </w:p>
    <w:p w:rsidR="00000000" w:rsidDel="00000000" w:rsidP="00000000" w:rsidRDefault="00000000" w:rsidRPr="00000000" w14:paraId="00000009">
      <w:pPr>
        <w:spacing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Steady-State Adj. EBITDA represents the earnings profile excluding the company’s growth engine costs</w:t>
      </w:r>
    </w:p>
    <w:p w:rsidR="00000000" w:rsidDel="00000000" w:rsidP="00000000" w:rsidRDefault="00000000" w:rsidRPr="00000000" w14:paraId="0000000A">
      <w:pPr>
        <w:spacing w:after="0" w:before="180" w:lineRule="auto"/>
        <w:rPr>
          <w:rFonts w:ascii="Times New Roman" w:cs="Times New Roman" w:eastAsia="Times New Roman" w:hAnsi="Times New Roman"/>
          <w:b w:val="1"/>
          <w:bCs w:val="1"/>
          <w:color w:val="7b0000"/>
          <w:sz w:val="32"/>
          <w:szCs w:val="32"/>
        </w:rPr>
      </w:pPr>
      <w:r w:rsidDel="00000000" w:rsidR="00000000" w:rsidRPr="00000000">
        <w:rPr>
          <w:rFonts w:ascii="Times New Roman" w:cs="Times New Roman" w:eastAsia="Times New Roman" w:hAnsi="Times New Roman"/>
          <w:b w:val="1"/>
          <w:bCs w:val="1"/>
          <w:color w:val="7b0000"/>
          <w:sz w:val="32"/>
          <w:szCs w:val="32"/>
          <w:rtl w:val="0"/>
        </w:rPr>
        <w:t xml:space="preserve">Executive Summary</w:t>
      </w:r>
    </w:p>
    <w:p w:rsidR="00000000" w:rsidDel="00000000" w:rsidP="00000000" w:rsidRDefault="00000000" w:rsidRPr="00000000" w14:paraId="0000000B">
      <w:pPr>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after="120" w:before="180" w:lineRule="auto"/>
        <w:rPr>
          <w:rFonts w:ascii="Times New Roman" w:cs="Times New Roman" w:eastAsia="Times New Roman" w:hAnsi="Times New Roman"/>
          <w:b w:val="1"/>
          <w:bCs w:val="1"/>
          <w:color w:val="7b0000"/>
          <w:sz w:val="32"/>
          <w:szCs w:val="32"/>
        </w:rPr>
      </w:pPr>
      <w:r w:rsidDel="00000000" w:rsidR="00000000" w:rsidRPr="00000000">
        <w:rPr>
          <w:rFonts w:ascii="Times New Roman" w:cs="Times New Roman" w:eastAsia="Times New Roman" w:hAnsi="Times New Roman"/>
          <w:b w:val="1"/>
          <w:bCs w:val="1"/>
          <w:color w:val="7b0000"/>
          <w:sz w:val="32"/>
          <w:szCs w:val="32"/>
          <w:rtl w:val="0"/>
        </w:rPr>
        <w:t xml:space="preserve">Strategic Considerations</w:t>
      </w:r>
    </w:p>
    <w:p w:rsidR="00000000" w:rsidDel="00000000" w:rsidP="00000000" w:rsidRDefault="00000000" w:rsidRPr="00000000" w14:paraId="0000000D">
      <w:pPr>
        <w:spacing w:before="12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strategic rationales for acquiring Keystone?</w:t>
      </w:r>
    </w:p>
    <w:p w:rsidR="00000000" w:rsidDel="00000000" w:rsidP="00000000" w:rsidRDefault="00000000" w:rsidRPr="00000000" w14:paraId="0000000E">
      <w:pPr>
        <w:spacing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Topkey is valued at ~17x revenue ($50M valuation at $3M ARR) while Keystone is valued at 7x adj. EBITDA. </w:t>
      </w:r>
    </w:p>
    <w:p w:rsidR="00000000" w:rsidDel="00000000" w:rsidP="00000000" w:rsidRDefault="00000000" w:rsidRPr="00000000" w14:paraId="0000000F">
      <w:pPr>
        <w:numPr>
          <w:ilvl w:val="0"/>
          <w:numId w:val="2"/>
        </w:numPr>
        <w:spacing w:after="0" w:afterAutospacing="0" w:before="12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Strengthen product package:</w:t>
      </w:r>
      <w:r w:rsidDel="00000000" w:rsidR="00000000" w:rsidRPr="00000000">
        <w:rPr>
          <w:rFonts w:ascii="Times New Roman" w:cs="Times New Roman" w:eastAsia="Times New Roman" w:hAnsi="Times New Roman"/>
          <w:sz w:val="24"/>
          <w:szCs w:val="24"/>
          <w:rtl w:val="0"/>
        </w:rPr>
        <w:t xml:space="preserve"> The goal is for sponsor-backed rollups and franchise networks to standardise Topkey as their financial software provider. A bookkeeping division adds a managed-services offering these buyers actively want and deepens the moat. </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Develop trust accounting:</w:t>
      </w:r>
      <w:r w:rsidDel="00000000" w:rsidR="00000000" w:rsidRPr="00000000">
        <w:rPr>
          <w:rFonts w:ascii="Times New Roman" w:cs="Times New Roman" w:eastAsia="Times New Roman" w:hAnsi="Times New Roman"/>
          <w:sz w:val="24"/>
          <w:szCs w:val="24"/>
          <w:rtl w:val="0"/>
        </w:rPr>
        <w:t xml:space="preserve"> VR Platform is a competing software provider offering trust accounting services. By acquiring a firm that runs thousands of properties on VT Platform, there is ~$160K in replacement software spend available.</w:t>
      </w:r>
    </w:p>
    <w:p w:rsidR="00000000" w:rsidDel="00000000" w:rsidP="00000000" w:rsidRDefault="00000000" w:rsidRPr="00000000" w14:paraId="00000011">
      <w:pPr>
        <w:numPr>
          <w:ilvl w:val="0"/>
          <w:numId w:val="2"/>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Keystone margin expansion: </w:t>
      </w:r>
      <w:r w:rsidDel="00000000" w:rsidR="00000000" w:rsidRPr="00000000">
        <w:rPr>
          <w:rFonts w:ascii="Times New Roman" w:cs="Times New Roman" w:eastAsia="Times New Roman" w:hAnsi="Times New Roman"/>
          <w:sz w:val="24"/>
          <w:szCs w:val="24"/>
          <w:rtl w:val="0"/>
        </w:rPr>
        <w:t xml:space="preserve">Develop proprietary accounting software to automate new client onboarding and recurring bookkeeping workflows to improve employee portfolio staffing capabilities</w:t>
      </w:r>
    </w:p>
    <w:p w:rsidR="00000000" w:rsidDel="00000000" w:rsidP="00000000" w:rsidRDefault="00000000" w:rsidRPr="00000000" w14:paraId="00000012">
      <w:pPr>
        <w:spacing w:before="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before="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numPr>
          <w:ilvl w:val="0"/>
          <w:numId w:val="3"/>
        </w:numPr>
        <w:spacing w:after="0" w:afterAutospacing="0" w:before="12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Migrating Software to Topkey Products</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Implementing Software for Existing Clients</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Engineer Savings</w:t>
      </w:r>
    </w:p>
    <w:p w:rsidR="00000000" w:rsidDel="00000000" w:rsidP="00000000" w:rsidRDefault="00000000" w:rsidRPr="00000000" w14:paraId="00000017">
      <w:pPr>
        <w:numPr>
          <w:ilvl w:val="0"/>
          <w:numId w:val="3"/>
        </w:numPr>
        <w:spacing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Topkey Client Cross-Sell</w:t>
      </w:r>
    </w:p>
    <w:p w:rsidR="00000000" w:rsidDel="00000000" w:rsidP="00000000" w:rsidRDefault="00000000" w:rsidRPr="00000000" w14:paraId="00000018">
      <w:pPr>
        <w:spacing w:after="120" w:before="180" w:lineRule="auto"/>
        <w:rPr>
          <w:rFonts w:ascii="Times New Roman" w:cs="Times New Roman" w:eastAsia="Times New Roman" w:hAnsi="Times New Roman"/>
          <w:b w:val="1"/>
          <w:bCs w:val="1"/>
          <w:color w:val="7b0000"/>
          <w:sz w:val="32"/>
          <w:szCs w:val="32"/>
        </w:rPr>
      </w:pPr>
      <w:r w:rsidDel="00000000" w:rsidR="00000000" w:rsidRPr="00000000">
        <w:rPr>
          <w:rFonts w:ascii="Times New Roman" w:cs="Times New Roman" w:eastAsia="Times New Roman" w:hAnsi="Times New Roman"/>
          <w:b w:val="1"/>
          <w:bCs w:val="1"/>
          <w:color w:val="7b0000"/>
          <w:sz w:val="32"/>
          <w:szCs w:val="32"/>
          <w:rtl w:val="0"/>
        </w:rPr>
        <w:t xml:space="preserve">Deal Risks &amp; Mitigants</w:t>
      </w:r>
    </w:p>
    <w:p w:rsidR="00000000" w:rsidDel="00000000" w:rsidP="00000000" w:rsidRDefault="00000000" w:rsidRPr="00000000" w14:paraId="00000019">
      <w:pPr>
        <w:numPr>
          <w:ilvl w:val="0"/>
          <w:numId w:val="1"/>
        </w:numPr>
        <w:spacing w:after="0" w:afterAutospacing="0" w:before="120" w:lineRule="auto"/>
        <w:ind w:left="720" w:hanging="360"/>
        <w:rPr>
          <w:rFonts w:ascii="Times New Roman" w:cs="Times New Roman" w:eastAsia="Times New Roman" w:hAnsi="Times New Roman"/>
          <w:b w:val="1"/>
          <w:bCs w:val="1"/>
          <w:color w:val="7b0000"/>
          <w:sz w:val="24"/>
          <w:szCs w:val="24"/>
          <w:u w:val="none"/>
        </w:rPr>
      </w:pPr>
      <w:r w:rsidDel="00000000" w:rsidR="00000000" w:rsidRPr="00000000">
        <w:rPr>
          <w:rFonts w:ascii="Times New Roman" w:cs="Times New Roman" w:eastAsia="Times New Roman" w:hAnsi="Times New Roman"/>
          <w:b w:val="1"/>
          <w:bCs w:val="1"/>
          <w:color w:val="7b0000"/>
          <w:sz w:val="24"/>
          <w:szCs w:val="24"/>
          <w:rtl w:val="0"/>
        </w:rPr>
        <w:t xml:space="preserve">Leadership Turnover</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b w:val="1"/>
          <w:bCs w:val="1"/>
          <w:color w:val="7b0000"/>
          <w:sz w:val="24"/>
          <w:szCs w:val="24"/>
          <w:u w:val="none"/>
        </w:rPr>
      </w:pPr>
      <w:r w:rsidDel="00000000" w:rsidR="00000000" w:rsidRPr="00000000">
        <w:rPr>
          <w:rFonts w:ascii="Times New Roman" w:cs="Times New Roman" w:eastAsia="Times New Roman" w:hAnsi="Times New Roman"/>
          <w:b w:val="1"/>
          <w:bCs w:val="1"/>
          <w:color w:val="7b0000"/>
          <w:sz w:val="24"/>
          <w:szCs w:val="24"/>
          <w:rtl w:val="0"/>
        </w:rPr>
        <w:t xml:space="preserve">Staffing Turnover</w:t>
      </w:r>
    </w:p>
    <w:p w:rsidR="00000000" w:rsidDel="00000000" w:rsidP="00000000" w:rsidRDefault="00000000" w:rsidRPr="00000000" w14:paraId="0000001B">
      <w:pPr>
        <w:numPr>
          <w:ilvl w:val="0"/>
          <w:numId w:val="1"/>
        </w:numPr>
        <w:spacing w:before="0" w:beforeAutospacing="0" w:lineRule="auto"/>
        <w:ind w:left="720" w:hanging="360"/>
        <w:rPr>
          <w:rFonts w:ascii="Times New Roman" w:cs="Times New Roman" w:eastAsia="Times New Roman" w:hAnsi="Times New Roman"/>
          <w:b w:val="1"/>
          <w:bCs w:val="1"/>
          <w:color w:val="7b0000"/>
          <w:sz w:val="24"/>
          <w:szCs w:val="24"/>
          <w:u w:val="none"/>
        </w:rPr>
      </w:pPr>
      <w:r w:rsidDel="00000000" w:rsidR="00000000" w:rsidRPr="00000000">
        <w:rPr>
          <w:rFonts w:ascii="Times New Roman" w:cs="Times New Roman" w:eastAsia="Times New Roman" w:hAnsi="Times New Roman"/>
          <w:b w:val="1"/>
          <w:bCs w:val="1"/>
          <w:color w:val="7b0000"/>
          <w:sz w:val="24"/>
          <w:szCs w:val="24"/>
          <w:rtl w:val="0"/>
        </w:rPr>
        <w:t xml:space="preserve">Customer Turnover</w:t>
      </w:r>
    </w:p>
    <w:p w:rsidR="00000000" w:rsidDel="00000000" w:rsidP="00000000" w:rsidRDefault="00000000" w:rsidRPr="00000000" w14:paraId="0000001C">
      <w:pPr>
        <w:spacing w:after="12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b0000"/>
          <w:sz w:val="32"/>
          <w:szCs w:val="32"/>
          <w:rtl w:val="0"/>
        </w:rPr>
        <w:t xml:space="preserve">Priority P&amp;L Considerations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Consideration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Verification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Ben currently billing his staffing agency at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-$300K if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staffing agency P&amp;L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Ben’s stated target compensation post-close?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-$92K at $200K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discussions with Jon &amp; Ben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we move VR Platform clients onto Topkey?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$161K LTM, run-rate is likely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discussions with Jon &amp; Ben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much is there in redundant software development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$100K stated so far for one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discussions with Jon &amp; Ben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we move Karbon clients onto Topkey?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$90K LTM, run-rate is likely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discussions with Jon &amp; Ben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“other professional fees” nonrecurring in 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$54K LTM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with Ben</w:t>
            </w:r>
          </w:p>
        </w:tc>
      </w:tr>
    </w:tbl>
    <w:p w:rsidR="00000000" w:rsidDel="00000000" w:rsidP="00000000" w:rsidRDefault="00000000" w:rsidRPr="00000000" w14:paraId="00000032">
      <w:pPr>
        <w:spacing w:before="180" w:lineRule="auto"/>
        <w:rPr>
          <w:rFonts w:ascii="Times New Roman" w:cs="Times New Roman" w:eastAsia="Times New Roman" w:hAnsi="Times New Roman"/>
          <w:b w:val="1"/>
          <w:bCs w:val="1"/>
          <w:color w:val="7b0000"/>
          <w:sz w:val="32"/>
          <w:szCs w:val="32"/>
        </w:rPr>
      </w:pPr>
      <w:r w:rsidDel="00000000" w:rsidR="00000000" w:rsidRPr="00000000">
        <w:rPr>
          <w:rFonts w:ascii="Times New Roman" w:cs="Times New Roman" w:eastAsia="Times New Roman" w:hAnsi="Times New Roman"/>
          <w:b w:val="1"/>
          <w:bCs w:val="1"/>
          <w:color w:val="7b0000"/>
          <w:sz w:val="32"/>
          <w:szCs w:val="32"/>
          <w:rtl w:val="0"/>
        </w:rPr>
        <w:t xml:space="preserve">Revenue Analysis</w:t>
      </w:r>
    </w:p>
    <w:p w:rsidR="00000000" w:rsidDel="00000000" w:rsidP="00000000" w:rsidRDefault="00000000" w:rsidRPr="00000000" w14:paraId="00000033">
      <w:pPr>
        <w:spacing w:before="120" w:lineRule="auto"/>
        <w:rPr>
          <w:rFonts w:ascii="Times New Roman" w:cs="Times New Roman" w:eastAsia="Times New Roman" w:hAnsi="Times New Roman"/>
          <w:b w:val="1"/>
          <w:bCs w:val="1"/>
          <w:color w:val="7b0000"/>
          <w:sz w:val="32"/>
          <w:szCs w:val="32"/>
        </w:rPr>
      </w:pPr>
      <w:r w:rsidDel="00000000" w:rsidR="00000000" w:rsidRPr="00000000">
        <w:rPr>
          <w:rFonts w:ascii="Times New Roman" w:cs="Times New Roman" w:eastAsia="Times New Roman" w:hAnsi="Times New Roman"/>
          <w:b w:val="1"/>
          <w:bCs w:val="1"/>
          <w:color w:val="7b0000"/>
          <w:sz w:val="32"/>
          <w:szCs w:val="32"/>
        </w:rPr>
        <w:drawing>
          <wp:inline distB="114300" distT="114300" distL="114300" distR="114300">
            <wp:extent cx="3662363" cy="4468082"/>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662363" cy="446808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Commentary: </w:t>
      </w:r>
      <w:r w:rsidDel="00000000" w:rsidR="00000000" w:rsidRPr="00000000">
        <w:rPr>
          <w:rFonts w:ascii="Times New Roman" w:cs="Times New Roman" w:eastAsia="Times New Roman" w:hAnsi="Times New Roman"/>
          <w:sz w:val="24"/>
          <w:szCs w:val="24"/>
          <w:rtl w:val="0"/>
        </w:rPr>
        <w:t xml:space="preserve">Keystone ARR increased ~$1M Y/Y and has more than doubled when annualizing the July’26 client base. This growth has been supported by a $200K onboarding team, $100K sales &amp; marketing team, and $40K in referrals/marketing events ($340K total). </w:t>
      </w:r>
    </w:p>
    <w:p w:rsidR="00000000" w:rsidDel="00000000" w:rsidP="00000000" w:rsidRDefault="00000000" w:rsidRPr="00000000" w14:paraId="00000035">
      <w:pPr>
        <w:spacing w:before="120" w:lineRule="auto"/>
        <w:rPr>
          <w:rFonts w:ascii="Times New Roman" w:cs="Times New Roman" w:eastAsia="Times New Roman" w:hAnsi="Times New Roman"/>
          <w:b w:val="1"/>
          <w:bCs w:val="1"/>
          <w:color w:val="7b0000"/>
          <w:sz w:val="24"/>
          <w:szCs w:val="24"/>
        </w:rPr>
      </w:pPr>
      <w:r w:rsidDel="00000000" w:rsidR="00000000" w:rsidRPr="00000000">
        <w:rPr>
          <w:rFonts w:ascii="Times New Roman" w:cs="Times New Roman" w:eastAsia="Times New Roman" w:hAnsi="Times New Roman"/>
          <w:b w:val="1"/>
          <w:bCs w:val="1"/>
          <w:color w:val="7b0000"/>
          <w:sz w:val="24"/>
          <w:szCs w:val="24"/>
          <w:rtl w:val="0"/>
        </w:rPr>
        <w:t xml:space="preserve">Monthly STR Subscription Revenue (Jan’24 - July’26)</w:t>
      </w:r>
    </w:p>
    <w:p w:rsidR="00000000" w:rsidDel="00000000" w:rsidP="00000000" w:rsidRDefault="00000000" w:rsidRPr="00000000" w14:paraId="00000036">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71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0000"/>
          <w:sz w:val="24"/>
          <w:szCs w:val="24"/>
          <w:rtl w:val="0"/>
        </w:rPr>
        <w:t xml:space="preserve">Monthly Recurring Revenue Excluding STR (Jan’24 - July’26)</w:t>
      </w:r>
      <w:r w:rsidDel="00000000" w:rsidR="00000000" w:rsidRPr="00000000">
        <w:rPr>
          <w:rtl w:val="0"/>
        </w:rPr>
      </w:r>
    </w:p>
    <w:p w:rsidR="00000000" w:rsidDel="00000000" w:rsidP="00000000" w:rsidRDefault="00000000" w:rsidRPr="00000000" w14:paraId="00000038">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7170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Commentary: </w:t>
      </w:r>
      <w:r w:rsidDel="00000000" w:rsidR="00000000" w:rsidRPr="00000000">
        <w:rPr>
          <w:rFonts w:ascii="Times New Roman" w:cs="Times New Roman" w:eastAsia="Times New Roman" w:hAnsi="Times New Roman"/>
          <w:sz w:val="24"/>
          <w:szCs w:val="24"/>
          <w:rtl w:val="0"/>
        </w:rPr>
        <w:t xml:space="preserve">Non-STR recurring revenue increased 84% over the past two and a half years, driven by the addition of occupancy tax services (32% of non-STR revenue), Topkey subscription fees (16%), STR bill pay (14%), and controller services (7%). Throughout the period, SMB subscription revenue has declined 55%.</w:t>
      </w:r>
    </w:p>
    <w:p w:rsidR="00000000" w:rsidDel="00000000" w:rsidP="00000000" w:rsidRDefault="00000000" w:rsidRPr="00000000" w14:paraId="0000003A">
      <w:pPr>
        <w:spacing w:before="120" w:lineRule="auto"/>
        <w:rPr>
          <w:rFonts w:ascii="Times New Roman" w:cs="Times New Roman" w:eastAsia="Times New Roman" w:hAnsi="Times New Roman"/>
          <w:b w:val="1"/>
          <w:bCs w:val="1"/>
          <w:color w:val="7b0000"/>
          <w:sz w:val="32"/>
          <w:szCs w:val="32"/>
        </w:rPr>
      </w:pPr>
      <w:r w:rsidDel="00000000" w:rsidR="00000000" w:rsidRPr="00000000">
        <w:rPr>
          <w:rFonts w:ascii="Times New Roman" w:cs="Times New Roman" w:eastAsia="Times New Roman" w:hAnsi="Times New Roman"/>
          <w:b w:val="1"/>
          <w:bCs w:val="1"/>
          <w:color w:val="7b0000"/>
          <w:sz w:val="32"/>
          <w:szCs w:val="32"/>
          <w:rtl w:val="0"/>
        </w:rPr>
        <w:t xml:space="preserve">Expense Analysis</w:t>
      </w:r>
    </w:p>
    <w:p w:rsidR="00000000" w:rsidDel="00000000" w:rsidP="00000000" w:rsidRDefault="00000000" w:rsidRPr="00000000" w14:paraId="0000003B">
      <w:pPr>
        <w:spacing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7b0000"/>
          <w:sz w:val="24"/>
          <w:szCs w:val="24"/>
          <w:rtl w:val="0"/>
        </w:rPr>
        <w:t xml:space="preserve">Monthly Indirect Wages (Jan’24 - July’26)</w:t>
      </w:r>
      <w:r w:rsidDel="00000000" w:rsidR="00000000" w:rsidRPr="00000000">
        <w:rPr>
          <w:rtl w:val="0"/>
        </w:rPr>
      </w:r>
    </w:p>
    <w:p w:rsidR="00000000" w:rsidDel="00000000" w:rsidP="00000000" w:rsidRDefault="00000000" w:rsidRPr="00000000" w14:paraId="0000003C">
      <w:pPr>
        <w:spacing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0447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Commentary: </w:t>
      </w:r>
      <w:r w:rsidDel="00000000" w:rsidR="00000000" w:rsidRPr="00000000">
        <w:rPr>
          <w:rFonts w:ascii="Times New Roman" w:cs="Times New Roman" w:eastAsia="Times New Roman" w:hAnsi="Times New Roman"/>
          <w:sz w:val="24"/>
          <w:szCs w:val="24"/>
          <w:rtl w:val="0"/>
        </w:rPr>
        <w:t xml:space="preserve">Indirect wages now represent 32% of total payroll, or $700K in annual compensation. Wages spiked in Nov’24 and Mar’26, indicating key hires. </w:t>
      </w:r>
    </w:p>
    <w:p w:rsidR="00000000" w:rsidDel="00000000" w:rsidP="00000000" w:rsidRDefault="00000000" w:rsidRPr="00000000" w14:paraId="0000003E">
      <w:pPr>
        <w:spacing w:before="120" w:lineRule="auto"/>
        <w:rPr>
          <w:rFonts w:ascii="Times New Roman" w:cs="Times New Roman" w:eastAsia="Times New Roman" w:hAnsi="Times New Roman"/>
          <w:b w:val="1"/>
          <w:bCs w:val="1"/>
          <w:color w:val="7b0000"/>
          <w:sz w:val="24"/>
          <w:szCs w:val="24"/>
        </w:rPr>
      </w:pPr>
      <w:r w:rsidDel="00000000" w:rsidR="00000000" w:rsidRPr="00000000">
        <w:rPr>
          <w:rFonts w:ascii="Times New Roman" w:cs="Times New Roman" w:eastAsia="Times New Roman" w:hAnsi="Times New Roman"/>
          <w:b w:val="1"/>
          <w:bCs w:val="1"/>
          <w:color w:val="7b0000"/>
          <w:sz w:val="24"/>
          <w:szCs w:val="24"/>
          <w:rtl w:val="0"/>
        </w:rPr>
        <w:t xml:space="preserve">Monthly Bookkeeper Wages (Jan’24 - July’26)</w:t>
      </w:r>
    </w:p>
    <w:p w:rsidR="00000000" w:rsidDel="00000000" w:rsidP="00000000" w:rsidRDefault="00000000" w:rsidRPr="00000000" w14:paraId="0000003F">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0000"/>
          <w:sz w:val="24"/>
          <w:szCs w:val="24"/>
        </w:rPr>
        <w:drawing>
          <wp:inline distB="114300" distT="114300" distL="114300" distR="114300">
            <wp:extent cx="5943600" cy="23495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349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Commentary: </w:t>
      </w:r>
      <w:r w:rsidDel="00000000" w:rsidR="00000000" w:rsidRPr="00000000">
        <w:rPr>
          <w:rFonts w:ascii="Times New Roman" w:cs="Times New Roman" w:eastAsia="Times New Roman" w:hAnsi="Times New Roman"/>
          <w:sz w:val="24"/>
          <w:szCs w:val="24"/>
          <w:rtl w:val="0"/>
        </w:rPr>
        <w:t xml:space="preserve">Monthly bookkeeper wages have increased over 4x since the beginning of 2024, with bookkeeper payroll representing roughly 18% of recurring revenue. The downside volatility in bookkeeper compensation suggests high turnover, which is a significant concern we will continue to diligence further by reviewing the provided staffing information. </w:t>
      </w:r>
    </w:p>
    <w:p w:rsidR="00000000" w:rsidDel="00000000" w:rsidP="00000000" w:rsidRDefault="00000000" w:rsidRPr="00000000" w14:paraId="00000040">
      <w:pPr>
        <w:spacing w:before="120" w:lineRule="auto"/>
        <w:rPr>
          <w:rFonts w:ascii="Times New Roman" w:cs="Times New Roman" w:eastAsia="Times New Roman" w:hAnsi="Times New Roman"/>
          <w:b w:val="1"/>
          <w:bCs w:val="1"/>
          <w:color w:val="7b0000"/>
          <w:sz w:val="24"/>
          <w:szCs w:val="24"/>
        </w:rPr>
      </w:pPr>
      <w:r w:rsidDel="00000000" w:rsidR="00000000" w:rsidRPr="00000000">
        <w:rPr>
          <w:rFonts w:ascii="Times New Roman" w:cs="Times New Roman" w:eastAsia="Times New Roman" w:hAnsi="Times New Roman"/>
          <w:b w:val="1"/>
          <w:bCs w:val="1"/>
          <w:color w:val="7b0000"/>
          <w:sz w:val="24"/>
          <w:szCs w:val="24"/>
          <w:rtl w:val="0"/>
        </w:rPr>
        <w:t xml:space="preserve">Monthly Onboarding Wages (Jan’24 - July’26)</w:t>
      </w:r>
    </w:p>
    <w:p w:rsidR="00000000" w:rsidDel="00000000" w:rsidP="00000000" w:rsidRDefault="00000000" w:rsidRPr="00000000" w14:paraId="00000041">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0000"/>
          <w:sz w:val="24"/>
          <w:szCs w:val="24"/>
        </w:rPr>
        <w:drawing>
          <wp:inline distB="114300" distT="114300" distL="114300" distR="114300">
            <wp:extent cx="5943600" cy="22352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235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Commentary: </w:t>
      </w:r>
      <w:r w:rsidDel="00000000" w:rsidR="00000000" w:rsidRPr="00000000">
        <w:rPr>
          <w:rFonts w:ascii="Times New Roman" w:cs="Times New Roman" w:eastAsia="Times New Roman" w:hAnsi="Times New Roman"/>
          <w:sz w:val="24"/>
          <w:szCs w:val="24"/>
          <w:rtl w:val="0"/>
        </w:rPr>
        <w:t xml:space="preserve">Onboarding wages have fluctuated m/m to a degree that signals issues hiring, training, and keeping offshore personnel. The implied turnover rates for bookkeepers and onboarding personnel are something we’d want to understand further, both in terms of drivers and the path to stabilizing the offshore personnel. </w:t>
      </w:r>
    </w:p>
    <w:p w:rsidR="00000000" w:rsidDel="00000000" w:rsidP="00000000" w:rsidRDefault="00000000" w:rsidRPr="00000000" w14:paraId="00000042">
      <w:pPr>
        <w:spacing w:before="120" w:lineRule="auto"/>
        <w:rPr>
          <w:rFonts w:ascii="Times New Roman" w:cs="Times New Roman" w:eastAsia="Times New Roman" w:hAnsi="Times New Roman"/>
          <w:b w:val="1"/>
          <w:bCs w:val="1"/>
          <w:color w:val="7b0000"/>
          <w:sz w:val="32"/>
          <w:szCs w:val="32"/>
        </w:rPr>
      </w:pPr>
      <w:r w:rsidDel="00000000" w:rsidR="00000000" w:rsidRPr="00000000">
        <w:rPr>
          <w:rFonts w:ascii="Times New Roman" w:cs="Times New Roman" w:eastAsia="Times New Roman" w:hAnsi="Times New Roman"/>
          <w:b w:val="1"/>
          <w:bCs w:val="1"/>
          <w:color w:val="7b0000"/>
          <w:sz w:val="32"/>
          <w:szCs w:val="32"/>
          <w:rtl w:val="0"/>
        </w:rPr>
        <w:t xml:space="preserve">Software Overview</w:t>
      </w:r>
    </w:p>
    <w:p w:rsidR="00000000" w:rsidDel="00000000" w:rsidP="00000000" w:rsidRDefault="00000000" w:rsidRPr="00000000" w14:paraId="00000043">
      <w:pPr>
        <w:spacing w:before="120" w:lineRule="auto"/>
        <w:rPr>
          <w:rFonts w:ascii="Times New Roman" w:cs="Times New Roman" w:eastAsia="Times New Roman" w:hAnsi="Times New Roman"/>
          <w:b w:val="1"/>
          <w:bCs w:val="1"/>
          <w:color w:val="7b0000"/>
          <w:sz w:val="32"/>
          <w:szCs w:val="32"/>
        </w:rPr>
      </w:pPr>
      <w:r w:rsidDel="00000000" w:rsidR="00000000" w:rsidRPr="00000000">
        <w:rPr>
          <w:rFonts w:ascii="Times New Roman" w:cs="Times New Roman" w:eastAsia="Times New Roman" w:hAnsi="Times New Roman"/>
          <w:b w:val="1"/>
          <w:bCs w:val="1"/>
          <w:color w:val="7b0000"/>
          <w:sz w:val="32"/>
          <w:szCs w:val="32"/>
        </w:rPr>
        <w:drawing>
          <wp:inline distB="114300" distT="114300" distL="114300" distR="114300">
            <wp:extent cx="2862263" cy="2401556"/>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62263" cy="240155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Commentary: </w:t>
      </w:r>
      <w:r w:rsidDel="00000000" w:rsidR="00000000" w:rsidRPr="00000000">
        <w:rPr>
          <w:rFonts w:ascii="Times New Roman" w:cs="Times New Roman" w:eastAsia="Times New Roman" w:hAnsi="Times New Roman"/>
          <w:sz w:val="24"/>
          <w:szCs w:val="24"/>
          <w:rtl w:val="0"/>
        </w:rPr>
        <w:t xml:space="preserve">Keystone’s tech stack represents 18% of total revenue, driven primarily by VR Platform, Karbon, and Topkey spend (62% of LTM software expenses). </w:t>
      </w:r>
    </w:p>
    <w:p w:rsidR="00000000" w:rsidDel="00000000" w:rsidP="00000000" w:rsidRDefault="00000000" w:rsidRPr="00000000" w14:paraId="00000045">
      <w:pPr>
        <w:spacing w:before="120" w:lineRule="auto"/>
        <w:rPr>
          <w:rFonts w:ascii="Times New Roman" w:cs="Times New Roman" w:eastAsia="Times New Roman" w:hAnsi="Times New Roman"/>
          <w:b w:val="1"/>
          <w:bCs w:val="1"/>
          <w:color w:val="7b0000"/>
          <w:sz w:val="24"/>
          <w:szCs w:val="24"/>
        </w:rPr>
      </w:pPr>
      <w:r w:rsidDel="00000000" w:rsidR="00000000" w:rsidRPr="00000000">
        <w:rPr>
          <w:rFonts w:ascii="Times New Roman" w:cs="Times New Roman" w:eastAsia="Times New Roman" w:hAnsi="Times New Roman"/>
          <w:b w:val="1"/>
          <w:bCs w:val="1"/>
          <w:color w:val="7b0000"/>
          <w:sz w:val="24"/>
          <w:szCs w:val="24"/>
          <w:rtl w:val="0"/>
        </w:rPr>
        <w:t xml:space="preserve">Monthly Software Expense Excluding Topkey (Jan’24 - July’26)</w:t>
      </w:r>
    </w:p>
    <w:p w:rsidR="00000000" w:rsidDel="00000000" w:rsidP="00000000" w:rsidRDefault="00000000" w:rsidRPr="00000000" w14:paraId="00000046">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0000"/>
          <w:sz w:val="24"/>
          <w:szCs w:val="24"/>
        </w:rPr>
        <w:drawing>
          <wp:inline distB="114300" distT="114300" distL="114300" distR="114300">
            <wp:extent cx="5943600" cy="21463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146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Commentary: </w:t>
      </w:r>
      <w:r w:rsidDel="00000000" w:rsidR="00000000" w:rsidRPr="00000000">
        <w:rPr>
          <w:rFonts w:ascii="Times New Roman" w:cs="Times New Roman" w:eastAsia="Times New Roman" w:hAnsi="Times New Roman"/>
          <w:sz w:val="24"/>
          <w:szCs w:val="24"/>
          <w:rtl w:val="0"/>
        </w:rPr>
        <w:t xml:space="preserve">The implementation of additional software has increased costs as a percentage of sales, which suggests these costs aren’t being passed through to clients or used to drive additional revenue. We will continue to analyze the tech stack to gain a clearer understanding of which areas are opportunities for Topkey. </w:t>
      </w:r>
    </w:p>
    <w:sectPr>
      <w:headerReference r:id="rId14" w:type="default"/>
      <w:footerReference r:id="rId15" w:type="default"/>
      <w:pgSz w:h="15840" w:w="12240" w:orient="portrait"/>
      <w:pgMar w:bottom="1440" w:top="1440" w:left="1440" w:right="144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Lines w:val="1"/>
      <w:spacing w:line="240" w:lineRule="auto"/>
      <w:jc w:val="center"/>
      <w:rPr>
        <w:color w:val="ffffff"/>
      </w:rPr>
    </w:pPr>
    <w:r w:rsidDel="00000000" w:rsidR="00000000" w:rsidRPr="00000000">
      <w:rPr>
        <w:rFonts w:ascii="Times New Roman" w:cs="Times New Roman" w:eastAsia="Times New Roman" w:hAnsi="Times New Roman"/>
        <w:b w:val="1"/>
        <w:bCs w:val="1"/>
        <w:color w:val="ffffff"/>
        <w:sz w:val="32"/>
        <w:szCs w:val="32"/>
      </w:rPr>
      <w:drawing>
        <wp:anchor allowOverlap="1" behindDoc="1" distB="114300" distT="114300" distL="114300" distR="114300" hidden="0" layoutInCell="1" locked="0" relativeHeight="0" simplePos="0">
          <wp:simplePos x="0" y="0"/>
          <wp:positionH relativeFrom="page">
            <wp:posOffset>-19049</wp:posOffset>
          </wp:positionH>
          <wp:positionV relativeFrom="page">
            <wp:posOffset>-28574</wp:posOffset>
          </wp:positionV>
          <wp:extent cx="7810500" cy="719138"/>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10500" cy="719138"/>
                  </a:xfrm>
                  <a:prstGeom prst="rect"/>
                  <a:ln/>
                </pic:spPr>
              </pic:pic>
            </a:graphicData>
          </a:graphic>
        </wp:anchor>
      </w:drawing>
    </w:r>
    <w:r w:rsidDel="00000000" w:rsidR="00000000" w:rsidRPr="00000000">
      <w:rPr>
        <w:rFonts w:ascii="Times New Roman" w:cs="Times New Roman" w:eastAsia="Times New Roman" w:hAnsi="Times New Roman"/>
        <w:b w:val="1"/>
        <w:bCs w:val="1"/>
        <w:color w:val="ffffff"/>
        <w:sz w:val="32"/>
        <w:szCs w:val="32"/>
        <w:rtl w:val="0"/>
      </w:rPr>
      <w:t xml:space="preserve">Keystone - Initial Financial Review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5133975</wp:posOffset>
          </wp:positionH>
          <wp:positionV relativeFrom="paragraph">
            <wp:posOffset>-160019</wp:posOffset>
          </wp:positionV>
          <wp:extent cx="1684421" cy="571500"/>
          <wp:effectExtent b="0" l="0" r="0" t="0"/>
          <wp:wrapNone/>
          <wp:docPr id="7"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684421" cy="571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