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Table 1. Migrant Deaths per Cell by Danger Index Tercile: Pre- vs. Post-SFA</w:t>
      </w:r>
    </w:p>
    <w:p>
      <w:r>
        <w:t>Unit of observation is the grid cell-period (0.044 degree cells, ~2.7 miles per side). Danger index terciles are defined over the full sample of active cells using the composite Z-score (sum of 6 standardized factors: temperature, distance to city, distance to road, distance to water, slope, vegetation density). Difference = Post-SFA mean - Pre-SFA mean. % Change = Difference / Pre-SFA mean. t-statistics from two-sample t-tests (unequal variances). DiD row: columns show High-Low cross-difference pre- and post-SFA; % Change column shows difference in % changes (High % - Low %). *** p&lt;0.01  ** p&lt;0.05  * p&lt;0.10.</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9D9D9"/>
          </w:tcPr>
          <w:p>
            <w:pPr>
              <w:jc w:val="center"/>
            </w:pPr>
            <w:r>
              <w:rPr>
                <w:b/>
              </w:rPr>
              <w:t>Danger Index</w:t>
              <w:br/>
              <w:t>Tercile</w:t>
            </w:r>
          </w:p>
        </w:tc>
        <w:tc>
          <w:tcPr>
            <w:tcW w:type="dxa" w:w="1080"/>
            <w:shd w:val="clear" w:color="auto" w:fill="D9D9D9"/>
          </w:tcPr>
          <w:p>
            <w:pPr>
              <w:jc w:val="center"/>
            </w:pPr>
            <w:r>
              <w:rPr>
                <w:b/>
              </w:rPr>
              <w:t>Pre-SFA</w:t>
              <w:br/>
              <w:t>Mean Deaths</w:t>
            </w:r>
          </w:p>
        </w:tc>
        <w:tc>
          <w:tcPr>
            <w:tcW w:type="dxa" w:w="1080"/>
            <w:shd w:val="clear" w:color="auto" w:fill="D9D9D9"/>
          </w:tcPr>
          <w:p>
            <w:pPr>
              <w:jc w:val="center"/>
            </w:pPr>
            <w:r>
              <w:rPr>
                <w:b/>
              </w:rPr>
              <w:t>Pre-SFA</w:t>
              <w:br/>
              <w:t>N Cells</w:t>
            </w:r>
          </w:p>
        </w:tc>
        <w:tc>
          <w:tcPr>
            <w:tcW w:type="dxa" w:w="1080"/>
            <w:shd w:val="clear" w:color="auto" w:fill="D9D9D9"/>
          </w:tcPr>
          <w:p>
            <w:pPr>
              <w:jc w:val="center"/>
            </w:pPr>
            <w:r>
              <w:rPr>
                <w:b/>
              </w:rPr>
              <w:t>Post-SFA</w:t>
              <w:br/>
              <w:t>Mean Deaths</w:t>
            </w:r>
          </w:p>
        </w:tc>
        <w:tc>
          <w:tcPr>
            <w:tcW w:type="dxa" w:w="1080"/>
            <w:shd w:val="clear" w:color="auto" w:fill="D9D9D9"/>
          </w:tcPr>
          <w:p>
            <w:pPr>
              <w:jc w:val="center"/>
            </w:pPr>
            <w:r>
              <w:rPr>
                <w:b/>
              </w:rPr>
              <w:t>Post-SFA</w:t>
              <w:br/>
              <w:t>N Cells</w:t>
            </w:r>
          </w:p>
        </w:tc>
        <w:tc>
          <w:tcPr>
            <w:tcW w:type="dxa" w:w="1080"/>
            <w:shd w:val="clear" w:color="auto" w:fill="D9D9D9"/>
          </w:tcPr>
          <w:p>
            <w:pPr>
              <w:jc w:val="center"/>
            </w:pPr>
            <w:r>
              <w:rPr>
                <w:b/>
              </w:rPr>
              <w:t>Difference</w:t>
            </w:r>
          </w:p>
        </w:tc>
        <w:tc>
          <w:tcPr>
            <w:tcW w:type="dxa" w:w="1080"/>
            <w:shd w:val="clear" w:color="auto" w:fill="D9D9D9"/>
          </w:tcPr>
          <w:p>
            <w:pPr>
              <w:jc w:val="center"/>
            </w:pPr>
            <w:r>
              <w:rPr>
                <w:b/>
              </w:rPr>
              <w:t>% Change</w:t>
            </w:r>
          </w:p>
        </w:tc>
        <w:tc>
          <w:tcPr>
            <w:tcW w:type="dxa" w:w="1080"/>
            <w:shd w:val="clear" w:color="auto" w:fill="D9D9D9"/>
          </w:tcPr>
          <w:p>
            <w:pPr>
              <w:jc w:val="center"/>
            </w:pPr>
            <w:r>
              <w:rPr>
                <w:b/>
              </w:rPr>
              <w:t>t-statistic</w:t>
            </w:r>
          </w:p>
        </w:tc>
      </w:tr>
      <w:tr>
        <w:tc>
          <w:tcPr>
            <w:tcW w:type="dxa" w:w="1080"/>
          </w:tcPr>
          <w:p>
            <w:pPr>
              <w:jc w:val="left"/>
            </w:pPr>
            <w:r>
              <w:t>Low (D_i = -6.1 to -2.9)</w:t>
            </w:r>
          </w:p>
        </w:tc>
        <w:tc>
          <w:tcPr>
            <w:tcW w:type="dxa" w:w="1080"/>
          </w:tcPr>
          <w:p>
            <w:pPr>
              <w:jc w:val="center"/>
            </w:pPr>
            <w:r>
              <w:t>1.686</w:t>
            </w:r>
          </w:p>
        </w:tc>
        <w:tc>
          <w:tcPr>
            <w:tcW w:type="dxa" w:w="1080"/>
          </w:tcPr>
          <w:p>
            <w:pPr>
              <w:jc w:val="center"/>
            </w:pPr>
            <w:r>
              <w:t>357</w:t>
            </w:r>
          </w:p>
        </w:tc>
        <w:tc>
          <w:tcPr>
            <w:tcW w:type="dxa" w:w="1080"/>
          </w:tcPr>
          <w:p>
            <w:pPr>
              <w:jc w:val="center"/>
            </w:pPr>
            <w:r>
              <w:t>1.451</w:t>
            </w:r>
          </w:p>
        </w:tc>
        <w:tc>
          <w:tcPr>
            <w:tcW w:type="dxa" w:w="1080"/>
          </w:tcPr>
          <w:p>
            <w:pPr>
              <w:jc w:val="center"/>
            </w:pPr>
            <w:r>
              <w:t>357</w:t>
            </w:r>
          </w:p>
        </w:tc>
        <w:tc>
          <w:tcPr>
            <w:tcW w:type="dxa" w:w="1080"/>
          </w:tcPr>
          <w:p>
            <w:pPr>
              <w:jc w:val="center"/>
            </w:pPr>
            <w:r>
              <w:t>-0.235</w:t>
            </w:r>
          </w:p>
        </w:tc>
        <w:tc>
          <w:tcPr>
            <w:tcW w:type="dxa" w:w="1080"/>
          </w:tcPr>
          <w:p>
            <w:pPr>
              <w:jc w:val="center"/>
            </w:pPr>
            <w:r>
              <w:t>-14.0%</w:t>
            </w:r>
          </w:p>
        </w:tc>
        <w:tc>
          <w:tcPr>
            <w:tcW w:type="dxa" w:w="1080"/>
          </w:tcPr>
          <w:p>
            <w:pPr>
              <w:jc w:val="center"/>
            </w:pPr>
            <w:r>
              <w:t>-1.25</w:t>
            </w:r>
          </w:p>
        </w:tc>
      </w:tr>
      <w:tr>
        <w:tc>
          <w:tcPr>
            <w:tcW w:type="dxa" w:w="1080"/>
          </w:tcPr>
          <w:p>
            <w:pPr>
              <w:jc w:val="left"/>
            </w:pPr>
            <w:r>
              <w:t>Medium (D_i = -2.9 to -1.3)</w:t>
            </w:r>
          </w:p>
        </w:tc>
        <w:tc>
          <w:tcPr>
            <w:tcW w:type="dxa" w:w="1080"/>
          </w:tcPr>
          <w:p>
            <w:pPr>
              <w:jc w:val="center"/>
            </w:pPr>
            <w:r>
              <w:t>1.025</w:t>
            </w:r>
          </w:p>
        </w:tc>
        <w:tc>
          <w:tcPr>
            <w:tcW w:type="dxa" w:w="1080"/>
          </w:tcPr>
          <w:p>
            <w:pPr>
              <w:jc w:val="center"/>
            </w:pPr>
            <w:r>
              <w:t>356</w:t>
            </w:r>
          </w:p>
        </w:tc>
        <w:tc>
          <w:tcPr>
            <w:tcW w:type="dxa" w:w="1080"/>
          </w:tcPr>
          <w:p>
            <w:pPr>
              <w:jc w:val="center"/>
            </w:pPr>
            <w:r>
              <w:t>1.525</w:t>
            </w:r>
          </w:p>
        </w:tc>
        <w:tc>
          <w:tcPr>
            <w:tcW w:type="dxa" w:w="1080"/>
          </w:tcPr>
          <w:p>
            <w:pPr>
              <w:jc w:val="center"/>
            </w:pPr>
            <w:r>
              <w:t>356</w:t>
            </w:r>
          </w:p>
        </w:tc>
        <w:tc>
          <w:tcPr>
            <w:tcW w:type="dxa" w:w="1080"/>
          </w:tcPr>
          <w:p>
            <w:pPr>
              <w:jc w:val="center"/>
            </w:pPr>
            <w:r>
              <w:t>+0.500</w:t>
            </w:r>
          </w:p>
        </w:tc>
        <w:tc>
          <w:tcPr>
            <w:tcW w:type="dxa" w:w="1080"/>
          </w:tcPr>
          <w:p>
            <w:pPr>
              <w:jc w:val="center"/>
            </w:pPr>
            <w:r>
              <w:t>+48.8%</w:t>
            </w:r>
          </w:p>
        </w:tc>
        <w:tc>
          <w:tcPr>
            <w:tcW w:type="dxa" w:w="1080"/>
          </w:tcPr>
          <w:p>
            <w:pPr>
              <w:jc w:val="center"/>
            </w:pPr>
            <w:r>
              <w:t>4.59***</w:t>
            </w:r>
          </w:p>
        </w:tc>
      </w:tr>
      <w:tr>
        <w:tc>
          <w:tcPr>
            <w:tcW w:type="dxa" w:w="1080"/>
          </w:tcPr>
          <w:p>
            <w:pPr>
              <w:jc w:val="left"/>
            </w:pPr>
            <w:r>
              <w:t>High (D_i = -1.3 to 3.9)</w:t>
            </w:r>
          </w:p>
        </w:tc>
        <w:tc>
          <w:tcPr>
            <w:tcW w:type="dxa" w:w="1080"/>
          </w:tcPr>
          <w:p>
            <w:pPr>
              <w:jc w:val="center"/>
            </w:pPr>
            <w:r>
              <w:t>0.697</w:t>
            </w:r>
          </w:p>
        </w:tc>
        <w:tc>
          <w:tcPr>
            <w:tcW w:type="dxa" w:w="1080"/>
          </w:tcPr>
          <w:p>
            <w:pPr>
              <w:jc w:val="center"/>
            </w:pPr>
            <w:r>
              <w:t>356</w:t>
            </w:r>
          </w:p>
        </w:tc>
        <w:tc>
          <w:tcPr>
            <w:tcW w:type="dxa" w:w="1080"/>
          </w:tcPr>
          <w:p>
            <w:pPr>
              <w:jc w:val="center"/>
            </w:pPr>
            <w:r>
              <w:t>2.143</w:t>
            </w:r>
          </w:p>
        </w:tc>
        <w:tc>
          <w:tcPr>
            <w:tcW w:type="dxa" w:w="1080"/>
          </w:tcPr>
          <w:p>
            <w:pPr>
              <w:jc w:val="center"/>
            </w:pPr>
            <w:r>
              <w:t>356</w:t>
            </w:r>
          </w:p>
        </w:tc>
        <w:tc>
          <w:tcPr>
            <w:tcW w:type="dxa" w:w="1080"/>
          </w:tcPr>
          <w:p>
            <w:pPr>
              <w:jc w:val="center"/>
            </w:pPr>
            <w:r>
              <w:t>+1.447</w:t>
            </w:r>
          </w:p>
        </w:tc>
        <w:tc>
          <w:tcPr>
            <w:tcW w:type="dxa" w:w="1080"/>
          </w:tcPr>
          <w:p>
            <w:pPr>
              <w:jc w:val="center"/>
            </w:pPr>
            <w:r>
              <w:t>+207.7%</w:t>
            </w:r>
          </w:p>
        </w:tc>
        <w:tc>
          <w:tcPr>
            <w:tcW w:type="dxa" w:w="1080"/>
          </w:tcPr>
          <w:p>
            <w:pPr>
              <w:jc w:val="center"/>
            </w:pPr>
            <w:r>
              <w:t>9.69***</w:t>
            </w:r>
          </w:p>
        </w:tc>
      </w:tr>
      <w:tr>
        <w:tc>
          <w:tcPr>
            <w:tcW w:type="dxa" w:w="1080"/>
            <w:shd w:val="clear" w:color="auto" w:fill="E6F0FF"/>
          </w:tcPr>
          <w:p>
            <w:pPr>
              <w:jc w:val="left"/>
            </w:pPr>
            <w:r>
              <w:rPr>
                <w:b/>
              </w:rPr>
              <w:t>DiD (High - Low)</w:t>
            </w:r>
          </w:p>
        </w:tc>
        <w:tc>
          <w:tcPr>
            <w:tcW w:type="dxa" w:w="1080"/>
          </w:tcPr>
          <w:p>
            <w:pPr>
              <w:jc w:val="center"/>
            </w:pPr>
            <w:r>
              <w:rPr>
                <w:b/>
              </w:rPr>
              <w:t>-0.990</w:t>
            </w:r>
          </w:p>
        </w:tc>
        <w:tc>
          <w:tcPr>
            <w:tcW w:type="dxa" w:w="1080"/>
          </w:tcPr>
          <w:p>
            <w:pPr>
              <w:jc w:val="center"/>
            </w:pPr>
            <w:r>
              <w:rPr>
                <w:b/>
              </w:rPr>
              <w:t>H-L pre</w:t>
            </w:r>
          </w:p>
        </w:tc>
        <w:tc>
          <w:tcPr>
            <w:tcW w:type="dxa" w:w="1080"/>
          </w:tcPr>
          <w:p>
            <w:pPr>
              <w:jc w:val="center"/>
            </w:pPr>
            <w:r>
              <w:rPr>
                <w:b/>
              </w:rPr>
              <w:t>+0.692</w:t>
            </w:r>
          </w:p>
        </w:tc>
        <w:tc>
          <w:tcPr>
            <w:tcW w:type="dxa" w:w="1080"/>
          </w:tcPr>
          <w:p>
            <w:pPr>
              <w:jc w:val="center"/>
            </w:pPr>
            <w:r>
              <w:rPr>
                <w:b/>
              </w:rPr>
              <w:t>H-L post</w:t>
            </w:r>
          </w:p>
        </w:tc>
        <w:tc>
          <w:tcPr>
            <w:tcW w:type="dxa" w:w="1080"/>
          </w:tcPr>
          <w:p>
            <w:pPr>
              <w:jc w:val="center"/>
            </w:pPr>
            <w:r>
              <w:rPr>
                <w:b/>
              </w:rPr>
              <w:t>+1.682</w:t>
            </w:r>
          </w:p>
        </w:tc>
        <w:tc>
          <w:tcPr>
            <w:tcW w:type="dxa" w:w="1080"/>
          </w:tcPr>
          <w:p>
            <w:pPr>
              <w:jc w:val="center"/>
            </w:pPr>
            <w:r>
              <w:rPr>
                <w:b/>
              </w:rPr>
              <w:t>+221.6 pp</w:t>
            </w:r>
          </w:p>
        </w:tc>
        <w:tc>
          <w:tcPr>
            <w:tcW w:type="dxa" w:w="1080"/>
          </w:tcPr>
          <w:p>
            <w:pPr>
              <w:jc w:val="center"/>
            </w:pPr>
            <w:r>
              <w:rPr>
                <w:b/>
              </w:rPr>
              <w:t>8.23***</w:t>
            </w:r>
          </w:p>
        </w:tc>
      </w:tr>
      <w:tr>
        <w:tc>
          <w:tcPr>
            <w:tcW w:type="dxa" w:w="1080"/>
            <w:shd w:val="clear" w:color="auto" w:fill="F2F2F2"/>
          </w:tcPr>
          <w:p>
            <w:pPr>
              <w:jc w:val="left"/>
            </w:pPr>
            <w:r>
              <w:rPr>
                <w:b/>
              </w:rPr>
              <w:t>All cells</w:t>
            </w:r>
          </w:p>
        </w:tc>
        <w:tc>
          <w:tcPr>
            <w:tcW w:type="dxa" w:w="1080"/>
          </w:tcPr>
          <w:p>
            <w:pPr>
              <w:jc w:val="center"/>
            </w:pPr>
            <w:r>
              <w:rPr>
                <w:b/>
              </w:rPr>
              <w:t>1.137</w:t>
            </w:r>
          </w:p>
        </w:tc>
        <w:tc>
          <w:tcPr>
            <w:tcW w:type="dxa" w:w="1080"/>
          </w:tcPr>
          <w:p>
            <w:pPr>
              <w:jc w:val="center"/>
            </w:pPr>
            <w:r>
              <w:rPr>
                <w:b/>
              </w:rPr>
              <w:t>1069</w:t>
            </w:r>
          </w:p>
        </w:tc>
        <w:tc>
          <w:tcPr>
            <w:tcW w:type="dxa" w:w="1080"/>
          </w:tcPr>
          <w:p>
            <w:pPr>
              <w:jc w:val="center"/>
            </w:pPr>
            <w:r>
              <w:rPr>
                <w:b/>
              </w:rPr>
              <w:t>1.706</w:t>
            </w:r>
          </w:p>
        </w:tc>
        <w:tc>
          <w:tcPr>
            <w:tcW w:type="dxa" w:w="1080"/>
          </w:tcPr>
          <w:p>
            <w:pPr>
              <w:jc w:val="center"/>
            </w:pPr>
            <w:r>
              <w:rPr>
                <w:b/>
              </w:rPr>
              <w:t>1069</w:t>
            </w:r>
          </w:p>
        </w:tc>
        <w:tc>
          <w:tcPr>
            <w:tcW w:type="dxa" w:w="1080"/>
          </w:tcPr>
          <w:p>
            <w:pPr>
              <w:jc w:val="center"/>
            </w:pPr>
            <w:r>
              <w:rPr>
                <w:b/>
              </w:rPr>
              <w:t>+0.570</w:t>
            </w:r>
          </w:p>
        </w:tc>
        <w:tc>
          <w:tcPr>
            <w:tcW w:type="dxa" w:w="1080"/>
          </w:tcPr>
          <w:p>
            <w:pPr>
              <w:jc w:val="center"/>
            </w:pPr>
            <w:r>
              <w:rPr>
                <w:b/>
              </w:rPr>
              <w:t>+50.1%</w:t>
            </w:r>
          </w:p>
        </w:tc>
        <w:tc>
          <w:tcPr>
            <w:tcW w:type="dxa" w:w="1080"/>
          </w:tcPr>
          <w:p>
            <w:pPr>
              <w:jc w:val="center"/>
            </w:pPr>
            <w:r>
              <w:rPr>
                <w:b/>
              </w:rPr>
              <w:t>6.37***</w:t>
            </w:r>
          </w:p>
        </w:tc>
      </w:tr>
    </w:tbl>
    <w:p>
      <w:pPr>
        <w:spacing w:before="120" w:after="240"/>
      </w:pPr>
      <w:r>
        <w:t>Table 1 presents a simple difference-in-differences comparison of mean migrant deaths per grid cell across danger index terciles before and after the Secure Fence Act (SFA). Deaths increased in all three terciles following the SFA, but the magnitude differs sharply by terrain type. In the high-danger tercile, deaths per cell rose sharply and significantly, while the medium-danger tercile shows virtually no change. The difference-in-differences estimate — comparing the change in high-danger cells to the change in low-danger cells — is highly significant, confirming that the post-SFA increase was disproportionately concentrated in the most hazardous terrain. Notably, in the pre-SFA period the High-Low cross-difference is negative: high-danger cells had fewer deaths than low-danger cells before the SFA, because crossers were avoiding the most dangerous terrain. The SFA reversed this relationship. This pattern is consistent with a funnel effect: enforcement infrastructure channeled crossings away from urban ports of entry and into remote, high-danger corridors.</w:t>
      </w:r>
    </w:p>
    <w:p/>
    <w:p>
      <w:pPr>
        <w:pStyle w:val="Heading2"/>
      </w:pPr>
      <w:r>
        <w:t>Table 2. Poisson Difference-in-Differences: Migrant Deaths per Grid Cell</w:t>
      </w:r>
    </w:p>
    <w:p>
      <w:r>
        <w:t>Poisson regression. Dependent variable: deaths per 0.044 degree grid cell-period. Specification (1): baseline DiD with danger index interaction. Specification (2): adds distance to nearest fence segment and fence gap. Specification (3): Specification (2) with log sector apprehensions as Poisson offset (dependent variable becomes death rate per crossing attempt). Standard errors are Conley (1999) spatial HAC with 50 km cutoff. *** p&lt;0.01  ** p&lt;0.05  * p&lt;0.10.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D9D9"/>
          </w:tcPr>
          <w:p>
            <w:pPr>
              <w:jc w:val="center"/>
            </w:pPr>
            <w:r>
              <w:rPr>
                <w:b/>
              </w:rPr>
              <w:t>Variable</w:t>
            </w:r>
          </w:p>
        </w:tc>
        <w:tc>
          <w:tcPr>
            <w:tcW w:type="dxa" w:w="1234"/>
            <w:shd w:val="clear" w:color="auto" w:fill="D9D9D9"/>
          </w:tcPr>
          <w:p>
            <w:pPr>
              <w:jc w:val="center"/>
            </w:pPr>
            <w:r>
              <w:rPr>
                <w:b/>
              </w:rPr>
              <w:t>(1) β</w:t>
            </w:r>
          </w:p>
        </w:tc>
        <w:tc>
          <w:tcPr>
            <w:tcW w:type="dxa" w:w="1234"/>
            <w:shd w:val="clear" w:color="auto" w:fill="D9D9D9"/>
          </w:tcPr>
          <w:p>
            <w:pPr>
              <w:jc w:val="center"/>
            </w:pPr>
            <w:r>
              <w:rPr>
                <w:b/>
              </w:rPr>
              <w:t>(1) SE</w:t>
            </w:r>
          </w:p>
        </w:tc>
        <w:tc>
          <w:tcPr>
            <w:tcW w:type="dxa" w:w="1234"/>
            <w:shd w:val="clear" w:color="auto" w:fill="D9D9D9"/>
          </w:tcPr>
          <w:p>
            <w:pPr>
              <w:jc w:val="center"/>
            </w:pPr>
            <w:r>
              <w:rPr>
                <w:b/>
              </w:rPr>
              <w:t>(2) β</w:t>
            </w:r>
          </w:p>
        </w:tc>
        <w:tc>
          <w:tcPr>
            <w:tcW w:type="dxa" w:w="1234"/>
            <w:shd w:val="clear" w:color="auto" w:fill="D9D9D9"/>
          </w:tcPr>
          <w:p>
            <w:pPr>
              <w:jc w:val="center"/>
            </w:pPr>
            <w:r>
              <w:rPr>
                <w:b/>
              </w:rPr>
              <w:t>(2) SE</w:t>
            </w:r>
          </w:p>
        </w:tc>
        <w:tc>
          <w:tcPr>
            <w:tcW w:type="dxa" w:w="1234"/>
            <w:shd w:val="clear" w:color="auto" w:fill="D9D9D9"/>
          </w:tcPr>
          <w:p>
            <w:pPr>
              <w:jc w:val="center"/>
            </w:pPr>
            <w:r>
              <w:rPr>
                <w:b/>
              </w:rPr>
              <w:t>(3) β</w:t>
            </w:r>
          </w:p>
        </w:tc>
        <w:tc>
          <w:tcPr>
            <w:tcW w:type="dxa" w:w="1234"/>
            <w:shd w:val="clear" w:color="auto" w:fill="D9D9D9"/>
          </w:tcPr>
          <w:p>
            <w:pPr>
              <w:jc w:val="center"/>
            </w:pPr>
            <w:r>
              <w:rPr>
                <w:b/>
              </w:rPr>
              <w:t>(3) SE</w:t>
            </w:r>
          </w:p>
        </w:tc>
      </w:tr>
      <w:tr>
        <w:tc>
          <w:tcPr>
            <w:tcW w:type="dxa" w:w="1234"/>
            <w:shd w:val="clear" w:color="auto" w:fill="F2F2F2"/>
          </w:tcPr>
          <w:p>
            <w:pPr>
              <w:jc w:val="center"/>
            </w:pPr>
            <w:r>
              <w:rPr>
                <w:b/>
              </w:rPr>
            </w:r>
          </w:p>
        </w:tc>
        <w:tc>
          <w:tcPr>
            <w:tcW w:type="dxa" w:w="2468"/>
            <w:gridSpan w:val="2"/>
            <w:shd w:val="clear" w:color="auto" w:fill="F2F2F2"/>
          </w:tcPr>
          <w:p>
            <w:pPr>
              <w:jc w:val="center"/>
            </w:pPr>
            <w:r>
              <w:rPr>
                <w:b/>
              </w:rPr>
              <w:t>(1) Baseline</w:t>
            </w:r>
          </w:p>
        </w:tc>
        <w:tc>
          <w:tcPr>
            <w:tcW w:type="dxa" w:w="2468"/>
            <w:gridSpan w:val="2"/>
            <w:shd w:val="clear" w:color="auto" w:fill="F2F2F2"/>
          </w:tcPr>
          <w:p>
            <w:pPr>
              <w:jc w:val="center"/>
            </w:pPr>
            <w:r>
              <w:rPr>
                <w:b/>
              </w:rPr>
              <w:t>(2) + Fence/Gap</w:t>
            </w:r>
          </w:p>
        </w:tc>
        <w:tc>
          <w:tcPr>
            <w:tcW w:type="dxa" w:w="2468"/>
            <w:gridSpan w:val="2"/>
            <w:shd w:val="clear" w:color="auto" w:fill="F2F2F2"/>
          </w:tcPr>
          <w:p>
            <w:pPr>
              <w:jc w:val="center"/>
            </w:pPr>
            <w:r>
              <w:rPr>
                <w:b/>
              </w:rPr>
              <w:t>(3) + Offset</w:t>
            </w:r>
          </w:p>
        </w:tc>
      </w:tr>
      <w:tr>
        <w:tc>
          <w:tcPr>
            <w:tcW w:type="dxa" w:w="1234"/>
          </w:tcPr>
          <w:p>
            <w:r>
              <w:t>Constant</w:t>
            </w:r>
          </w:p>
        </w:tc>
        <w:tc>
          <w:tcPr>
            <w:tcW w:type="dxa" w:w="1234"/>
          </w:tcPr>
          <w:p>
            <w:pPr>
              <w:jc w:val="center"/>
            </w:pPr>
            <w:r>
              <w:t>-12.127*</w:t>
            </w:r>
          </w:p>
        </w:tc>
        <w:tc>
          <w:tcPr>
            <w:tcW w:type="dxa" w:w="1234"/>
          </w:tcPr>
          <w:p>
            <w:pPr>
              <w:jc w:val="center"/>
            </w:pPr>
            <w:r>
              <w:t>(7.073)</w:t>
            </w:r>
          </w:p>
        </w:tc>
        <w:tc>
          <w:tcPr>
            <w:tcW w:type="dxa" w:w="1234"/>
          </w:tcPr>
          <w:p>
            <w:pPr>
              <w:jc w:val="center"/>
            </w:pPr>
            <w:r>
              <w:t>-51.551*</w:t>
            </w:r>
          </w:p>
        </w:tc>
        <w:tc>
          <w:tcPr>
            <w:tcW w:type="dxa" w:w="1234"/>
          </w:tcPr>
          <w:p>
            <w:pPr>
              <w:jc w:val="center"/>
            </w:pPr>
            <w:r>
              <w:t>(30.587)</w:t>
            </w:r>
          </w:p>
        </w:tc>
        <w:tc>
          <w:tcPr>
            <w:tcW w:type="dxa" w:w="1234"/>
          </w:tcPr>
          <w:p>
            <w:pPr>
              <w:jc w:val="center"/>
            </w:pPr>
            <w:r>
              <w:t>-34.156</w:t>
            </w:r>
          </w:p>
        </w:tc>
        <w:tc>
          <w:tcPr>
            <w:tcW w:type="dxa" w:w="1234"/>
          </w:tcPr>
          <w:p>
            <w:pPr>
              <w:jc w:val="center"/>
            </w:pPr>
            <w:r>
              <w:t>(41.047)</w:t>
            </w:r>
          </w:p>
        </w:tc>
      </w:tr>
      <w:tr>
        <w:tc>
          <w:tcPr>
            <w:tcW w:type="dxa" w:w="1234"/>
          </w:tcPr>
          <w:p>
            <w:r>
              <w:t>Post-SFA</w:t>
            </w:r>
          </w:p>
        </w:tc>
        <w:tc>
          <w:tcPr>
            <w:tcW w:type="dxa" w:w="1234"/>
          </w:tcPr>
          <w:p>
            <w:pPr>
              <w:jc w:val="center"/>
            </w:pPr>
            <w:r>
              <w:t>1.083***</w:t>
            </w:r>
          </w:p>
        </w:tc>
        <w:tc>
          <w:tcPr>
            <w:tcW w:type="dxa" w:w="1234"/>
          </w:tcPr>
          <w:p>
            <w:pPr>
              <w:jc w:val="center"/>
            </w:pPr>
            <w:r>
              <w:t>(0.143)</w:t>
            </w:r>
          </w:p>
        </w:tc>
        <w:tc>
          <w:tcPr>
            <w:tcW w:type="dxa" w:w="1234"/>
          </w:tcPr>
          <w:p>
            <w:pPr>
              <w:jc w:val="center"/>
            </w:pPr>
            <w:r>
              <w:t>1.404***</w:t>
            </w:r>
          </w:p>
        </w:tc>
        <w:tc>
          <w:tcPr>
            <w:tcW w:type="dxa" w:w="1234"/>
          </w:tcPr>
          <w:p>
            <w:pPr>
              <w:jc w:val="center"/>
            </w:pPr>
            <w:r>
              <w:t>(0.174)</w:t>
            </w:r>
          </w:p>
        </w:tc>
        <w:tc>
          <w:tcPr>
            <w:tcW w:type="dxa" w:w="1234"/>
          </w:tcPr>
          <w:p>
            <w:pPr>
              <w:jc w:val="center"/>
            </w:pPr>
            <w:r>
              <w:t>2.537***</w:t>
            </w:r>
          </w:p>
        </w:tc>
        <w:tc>
          <w:tcPr>
            <w:tcW w:type="dxa" w:w="1234"/>
          </w:tcPr>
          <w:p>
            <w:pPr>
              <w:jc w:val="center"/>
            </w:pPr>
            <w:r>
              <w:t>(0.172)</w:t>
            </w:r>
          </w:p>
        </w:tc>
      </w:tr>
      <w:tr>
        <w:tc>
          <w:tcPr>
            <w:tcW w:type="dxa" w:w="1234"/>
          </w:tcPr>
          <w:p>
            <w:r>
              <w:t>Danger index (D_i)</w:t>
            </w:r>
          </w:p>
        </w:tc>
        <w:tc>
          <w:tcPr>
            <w:tcW w:type="dxa" w:w="1234"/>
          </w:tcPr>
          <w:p>
            <w:pPr>
              <w:jc w:val="center"/>
            </w:pPr>
            <w:r>
              <w:t>-0.288***</w:t>
            </w:r>
          </w:p>
        </w:tc>
        <w:tc>
          <w:tcPr>
            <w:tcW w:type="dxa" w:w="1234"/>
          </w:tcPr>
          <w:p>
            <w:pPr>
              <w:jc w:val="center"/>
            </w:pPr>
            <w:r>
              <w:t>(0.047)</w:t>
            </w:r>
          </w:p>
        </w:tc>
        <w:tc>
          <w:tcPr>
            <w:tcW w:type="dxa" w:w="1234"/>
          </w:tcPr>
          <w:p>
            <w:pPr>
              <w:jc w:val="center"/>
            </w:pPr>
            <w:r>
              <w:t>-0.279***</w:t>
            </w:r>
          </w:p>
        </w:tc>
        <w:tc>
          <w:tcPr>
            <w:tcW w:type="dxa" w:w="1234"/>
          </w:tcPr>
          <w:p>
            <w:pPr>
              <w:jc w:val="center"/>
            </w:pPr>
            <w:r>
              <w:t>(0.046)</w:t>
            </w:r>
          </w:p>
        </w:tc>
        <w:tc>
          <w:tcPr>
            <w:tcW w:type="dxa" w:w="1234"/>
          </w:tcPr>
          <w:p>
            <w:pPr>
              <w:jc w:val="center"/>
            </w:pPr>
            <w:r>
              <w:t>-0.256***</w:t>
            </w:r>
          </w:p>
        </w:tc>
        <w:tc>
          <w:tcPr>
            <w:tcW w:type="dxa" w:w="1234"/>
          </w:tcPr>
          <w:p>
            <w:pPr>
              <w:jc w:val="center"/>
            </w:pPr>
            <w:r>
              <w:t>(0.057)</w:t>
            </w:r>
          </w:p>
        </w:tc>
      </w:tr>
      <w:tr>
        <w:tc>
          <w:tcPr>
            <w:tcW w:type="dxa" w:w="1234"/>
          </w:tcPr>
          <w:p>
            <w:r>
              <w:rPr>
                <w:b/>
              </w:rPr>
              <w:t>Post-SFA x D_i</w:t>
            </w:r>
          </w:p>
        </w:tc>
        <w:tc>
          <w:tcPr>
            <w:tcW w:type="dxa" w:w="1234"/>
          </w:tcPr>
          <w:p>
            <w:pPr>
              <w:jc w:val="center"/>
            </w:pPr>
            <w:r>
              <w:rPr>
                <w:b/>
              </w:rPr>
              <w:t>0.304***</w:t>
            </w:r>
          </w:p>
        </w:tc>
        <w:tc>
          <w:tcPr>
            <w:tcW w:type="dxa" w:w="1234"/>
          </w:tcPr>
          <w:p>
            <w:pPr>
              <w:jc w:val="center"/>
            </w:pPr>
            <w:r>
              <w:rPr>
                <w:b/>
              </w:rPr>
              <w:t>(0.054)</w:t>
            </w:r>
          </w:p>
        </w:tc>
        <w:tc>
          <w:tcPr>
            <w:tcW w:type="dxa" w:w="1234"/>
          </w:tcPr>
          <w:p>
            <w:pPr>
              <w:jc w:val="center"/>
            </w:pPr>
            <w:r>
              <w:rPr>
                <w:b/>
              </w:rPr>
              <w:t>0.329***</w:t>
            </w:r>
          </w:p>
        </w:tc>
        <w:tc>
          <w:tcPr>
            <w:tcW w:type="dxa" w:w="1234"/>
          </w:tcPr>
          <w:p>
            <w:pPr>
              <w:jc w:val="center"/>
            </w:pPr>
            <w:r>
              <w:rPr>
                <w:b/>
              </w:rPr>
              <w:t>(0.058)</w:t>
            </w:r>
          </w:p>
        </w:tc>
        <w:tc>
          <w:tcPr>
            <w:tcW w:type="dxa" w:w="1234"/>
          </w:tcPr>
          <w:p>
            <w:pPr>
              <w:jc w:val="center"/>
            </w:pPr>
            <w:r>
              <w:rPr>
                <w:b/>
              </w:rPr>
              <w:t>0.330***</w:t>
            </w:r>
          </w:p>
        </w:tc>
        <w:tc>
          <w:tcPr>
            <w:tcW w:type="dxa" w:w="1234"/>
          </w:tcPr>
          <w:p>
            <w:pPr>
              <w:jc w:val="center"/>
            </w:pPr>
            <w:r>
              <w:rPr>
                <w:b/>
              </w:rPr>
              <w:t>(0.059)</w:t>
            </w:r>
          </w:p>
        </w:tc>
      </w:tr>
      <w:tr>
        <w:tc>
          <w:tcPr>
            <w:tcW w:type="dxa" w:w="1234"/>
          </w:tcPr>
          <w:p>
            <w:r>
              <w:t>Latitude</w:t>
            </w:r>
          </w:p>
        </w:tc>
        <w:tc>
          <w:tcPr>
            <w:tcW w:type="dxa" w:w="1234"/>
          </w:tcPr>
          <w:p>
            <w:pPr>
              <w:jc w:val="center"/>
            </w:pPr>
            <w:r>
              <w:t>-0.615***</w:t>
            </w:r>
          </w:p>
        </w:tc>
        <w:tc>
          <w:tcPr>
            <w:tcW w:type="dxa" w:w="1234"/>
          </w:tcPr>
          <w:p>
            <w:pPr>
              <w:jc w:val="center"/>
            </w:pPr>
            <w:r>
              <w:t>(0.158)</w:t>
            </w:r>
          </w:p>
        </w:tc>
        <w:tc>
          <w:tcPr>
            <w:tcW w:type="dxa" w:w="1234"/>
          </w:tcPr>
          <w:p>
            <w:pPr>
              <w:jc w:val="center"/>
            </w:pPr>
            <w:r>
              <w:t>-0.763</w:t>
            </w:r>
          </w:p>
        </w:tc>
        <w:tc>
          <w:tcPr>
            <w:tcW w:type="dxa" w:w="1234"/>
          </w:tcPr>
          <w:p>
            <w:pPr>
              <w:jc w:val="center"/>
            </w:pPr>
            <w:r>
              <w:t>(1.686)</w:t>
            </w:r>
          </w:p>
        </w:tc>
        <w:tc>
          <w:tcPr>
            <w:tcW w:type="dxa" w:w="1234"/>
          </w:tcPr>
          <w:p>
            <w:pPr>
              <w:jc w:val="center"/>
            </w:pPr>
            <w:r>
              <w:t>-2.382</w:t>
            </w:r>
          </w:p>
        </w:tc>
        <w:tc>
          <w:tcPr>
            <w:tcW w:type="dxa" w:w="1234"/>
          </w:tcPr>
          <w:p>
            <w:pPr>
              <w:jc w:val="center"/>
            </w:pPr>
            <w:r>
              <w:t>(2.377)</w:t>
            </w:r>
          </w:p>
        </w:tc>
      </w:tr>
      <w:tr>
        <w:tc>
          <w:tcPr>
            <w:tcW w:type="dxa" w:w="1234"/>
          </w:tcPr>
          <w:p>
            <w:r>
              <w:t>Longitude</w:t>
            </w:r>
          </w:p>
        </w:tc>
        <w:tc>
          <w:tcPr>
            <w:tcW w:type="dxa" w:w="1234"/>
          </w:tcPr>
          <w:p>
            <w:pPr>
              <w:jc w:val="center"/>
            </w:pPr>
            <w:r>
              <w:t>-0.280***</w:t>
            </w:r>
          </w:p>
        </w:tc>
        <w:tc>
          <w:tcPr>
            <w:tcW w:type="dxa" w:w="1234"/>
          </w:tcPr>
          <w:p>
            <w:pPr>
              <w:jc w:val="center"/>
            </w:pPr>
            <w:r>
              <w:t>(0.082)</w:t>
            </w:r>
          </w:p>
        </w:tc>
        <w:tc>
          <w:tcPr>
            <w:tcW w:type="dxa" w:w="1234"/>
          </w:tcPr>
          <w:p>
            <w:pPr>
              <w:jc w:val="center"/>
            </w:pPr>
            <w:r>
              <w:t>-0.676***</w:t>
            </w:r>
          </w:p>
        </w:tc>
        <w:tc>
          <w:tcPr>
            <w:tcW w:type="dxa" w:w="1234"/>
          </w:tcPr>
          <w:p>
            <w:pPr>
              <w:jc w:val="center"/>
            </w:pPr>
            <w:r>
              <w:t>(0.233)</w:t>
            </w:r>
          </w:p>
        </w:tc>
        <w:tc>
          <w:tcPr>
            <w:tcW w:type="dxa" w:w="1234"/>
          </w:tcPr>
          <w:p>
            <w:pPr>
              <w:jc w:val="center"/>
            </w:pPr>
            <w:r>
              <w:t>-0.860**</w:t>
            </w:r>
          </w:p>
        </w:tc>
        <w:tc>
          <w:tcPr>
            <w:tcW w:type="dxa" w:w="1234"/>
          </w:tcPr>
          <w:p>
            <w:pPr>
              <w:jc w:val="center"/>
            </w:pPr>
            <w:r>
              <w:t>(0.335)</w:t>
            </w:r>
          </w:p>
        </w:tc>
      </w:tr>
      <w:tr>
        <w:tc>
          <w:tcPr>
            <w:tcW w:type="dxa" w:w="1234"/>
          </w:tcPr>
          <w:p>
            <w:r>
              <w:t>Distance to fence (km)</w:t>
            </w:r>
          </w:p>
        </w:tc>
        <w:tc>
          <w:tcPr>
            <w:tcW w:type="dxa" w:w="1234"/>
          </w:tcPr>
          <w:p>
            <w:pPr>
              <w:jc w:val="center"/>
            </w:pPr>
            <w:r>
              <w:t>—</w:t>
            </w:r>
          </w:p>
        </w:tc>
        <w:tc>
          <w:tcPr>
            <w:tcW w:type="dxa" w:w="1234"/>
          </w:tcPr>
          <w:p>
            <w:pPr>
              <w:jc w:val="center"/>
            </w:pPr>
            <w:r/>
          </w:p>
        </w:tc>
        <w:tc>
          <w:tcPr>
            <w:tcW w:type="dxa" w:w="1234"/>
          </w:tcPr>
          <w:p>
            <w:pPr>
              <w:jc w:val="center"/>
            </w:pPr>
            <w:r>
              <w:t>0.009</w:t>
            </w:r>
          </w:p>
        </w:tc>
        <w:tc>
          <w:tcPr>
            <w:tcW w:type="dxa" w:w="1234"/>
          </w:tcPr>
          <w:p>
            <w:pPr>
              <w:jc w:val="center"/>
            </w:pPr>
            <w:r>
              <w:t>(0.013)</w:t>
            </w:r>
          </w:p>
        </w:tc>
        <w:tc>
          <w:tcPr>
            <w:tcW w:type="dxa" w:w="1234"/>
          </w:tcPr>
          <w:p>
            <w:pPr>
              <w:jc w:val="center"/>
            </w:pPr>
            <w:r>
              <w:t>0.018</w:t>
            </w:r>
          </w:p>
        </w:tc>
        <w:tc>
          <w:tcPr>
            <w:tcW w:type="dxa" w:w="1234"/>
          </w:tcPr>
          <w:p>
            <w:pPr>
              <w:jc w:val="center"/>
            </w:pPr>
            <w:r>
              <w:t>(0.018)</w:t>
            </w:r>
          </w:p>
        </w:tc>
      </w:tr>
      <w:tr>
        <w:tc>
          <w:tcPr>
            <w:tcW w:type="dxa" w:w="1234"/>
          </w:tcPr>
          <w:p>
            <w:r>
              <w:rPr>
                <w:b/>
              </w:rPr>
              <w:t>Post-SFA x Distance to fence</w:t>
            </w:r>
          </w:p>
        </w:tc>
        <w:tc>
          <w:tcPr>
            <w:tcW w:type="dxa" w:w="1234"/>
          </w:tcPr>
          <w:p>
            <w:pPr>
              <w:jc w:val="center"/>
            </w:pPr>
            <w:r>
              <w:rPr>
                <w:b/>
              </w:rPr>
              <w:t>—</w:t>
            </w:r>
          </w:p>
        </w:tc>
        <w:tc>
          <w:tcPr>
            <w:tcW w:type="dxa" w:w="1234"/>
          </w:tcPr>
          <w:p>
            <w:pPr>
              <w:jc w:val="center"/>
            </w:pPr>
            <w:r>
              <w:rPr>
                <w:b/>
              </w:rPr>
            </w:r>
          </w:p>
        </w:tc>
        <w:tc>
          <w:tcPr>
            <w:tcW w:type="dxa" w:w="1234"/>
          </w:tcPr>
          <w:p>
            <w:pPr>
              <w:jc w:val="center"/>
            </w:pPr>
            <w:r>
              <w:rPr>
                <w:b/>
              </w:rPr>
              <w:t>-0.002</w:t>
            </w:r>
          </w:p>
        </w:tc>
        <w:tc>
          <w:tcPr>
            <w:tcW w:type="dxa" w:w="1234"/>
          </w:tcPr>
          <w:p>
            <w:pPr>
              <w:jc w:val="center"/>
            </w:pPr>
            <w:r>
              <w:rPr>
                <w:b/>
              </w:rPr>
              <w:t>(0.003)</w:t>
            </w:r>
          </w:p>
        </w:tc>
        <w:tc>
          <w:tcPr>
            <w:tcW w:type="dxa" w:w="1234"/>
          </w:tcPr>
          <w:p>
            <w:pPr>
              <w:jc w:val="center"/>
            </w:pPr>
            <w:r>
              <w:rPr>
                <w:b/>
              </w:rPr>
              <w:t>-0.003</w:t>
            </w:r>
          </w:p>
        </w:tc>
        <w:tc>
          <w:tcPr>
            <w:tcW w:type="dxa" w:w="1234"/>
          </w:tcPr>
          <w:p>
            <w:pPr>
              <w:jc w:val="center"/>
            </w:pPr>
            <w:r>
              <w:rPr>
                <w:b/>
              </w:rPr>
              <w:t>(0.003)</w:t>
            </w:r>
          </w:p>
        </w:tc>
      </w:tr>
      <w:tr>
        <w:tc>
          <w:tcPr>
            <w:tcW w:type="dxa" w:w="1234"/>
          </w:tcPr>
          <w:p>
            <w:r>
              <w:t>Distance to gap (km)</w:t>
            </w:r>
          </w:p>
        </w:tc>
        <w:tc>
          <w:tcPr>
            <w:tcW w:type="dxa" w:w="1234"/>
          </w:tcPr>
          <w:p>
            <w:pPr>
              <w:jc w:val="center"/>
            </w:pPr>
            <w:r>
              <w:t>—</w:t>
            </w:r>
          </w:p>
        </w:tc>
        <w:tc>
          <w:tcPr>
            <w:tcW w:type="dxa" w:w="1234"/>
          </w:tcPr>
          <w:p>
            <w:pPr>
              <w:jc w:val="center"/>
            </w:pPr>
            <w:r/>
          </w:p>
        </w:tc>
        <w:tc>
          <w:tcPr>
            <w:tcW w:type="dxa" w:w="1234"/>
          </w:tcPr>
          <w:p>
            <w:pPr>
              <w:jc w:val="center"/>
            </w:pPr>
            <w:r>
              <w:t>-0.006</w:t>
            </w:r>
          </w:p>
        </w:tc>
        <w:tc>
          <w:tcPr>
            <w:tcW w:type="dxa" w:w="1234"/>
          </w:tcPr>
          <w:p>
            <w:pPr>
              <w:jc w:val="center"/>
            </w:pPr>
            <w:r>
              <w:t>(0.005)</w:t>
            </w:r>
          </w:p>
        </w:tc>
        <w:tc>
          <w:tcPr>
            <w:tcW w:type="dxa" w:w="1234"/>
          </w:tcPr>
          <w:p>
            <w:pPr>
              <w:jc w:val="center"/>
            </w:pPr>
            <w:r>
              <w:t>0.002</w:t>
            </w:r>
          </w:p>
        </w:tc>
        <w:tc>
          <w:tcPr>
            <w:tcW w:type="dxa" w:w="1234"/>
          </w:tcPr>
          <w:p>
            <w:pPr>
              <w:jc w:val="center"/>
            </w:pPr>
            <w:r>
              <w:t>(0.007)</w:t>
            </w:r>
          </w:p>
        </w:tc>
      </w:tr>
      <w:tr>
        <w:tc>
          <w:tcPr>
            <w:tcW w:type="dxa" w:w="1234"/>
          </w:tcPr>
          <w:p>
            <w:r>
              <w:rPr>
                <w:b/>
              </w:rPr>
              <w:t>Post-SFA x Distance to gap</w:t>
            </w:r>
          </w:p>
        </w:tc>
        <w:tc>
          <w:tcPr>
            <w:tcW w:type="dxa" w:w="1234"/>
          </w:tcPr>
          <w:p>
            <w:pPr>
              <w:jc w:val="center"/>
            </w:pPr>
            <w:r>
              <w:rPr>
                <w:b/>
              </w:rPr>
              <w:t>—</w:t>
            </w:r>
          </w:p>
        </w:tc>
        <w:tc>
          <w:tcPr>
            <w:tcW w:type="dxa" w:w="1234"/>
          </w:tcPr>
          <w:p>
            <w:pPr>
              <w:jc w:val="center"/>
            </w:pPr>
            <w:r>
              <w:rPr>
                <w:b/>
              </w:rPr>
            </w:r>
          </w:p>
        </w:tc>
        <w:tc>
          <w:tcPr>
            <w:tcW w:type="dxa" w:w="1234"/>
          </w:tcPr>
          <w:p>
            <w:pPr>
              <w:jc w:val="center"/>
            </w:pPr>
            <w:r>
              <w:rPr>
                <w:b/>
              </w:rPr>
              <w:t>-0.002</w:t>
            </w:r>
          </w:p>
        </w:tc>
        <w:tc>
          <w:tcPr>
            <w:tcW w:type="dxa" w:w="1234"/>
          </w:tcPr>
          <w:p>
            <w:pPr>
              <w:jc w:val="center"/>
            </w:pPr>
            <w:r>
              <w:rPr>
                <w:b/>
              </w:rPr>
              <w:t>(0.002)</w:t>
            </w:r>
          </w:p>
        </w:tc>
        <w:tc>
          <w:tcPr>
            <w:tcW w:type="dxa" w:w="1234"/>
          </w:tcPr>
          <w:p>
            <w:pPr>
              <w:jc w:val="center"/>
            </w:pPr>
            <w:r>
              <w:rPr>
                <w:b/>
              </w:rPr>
              <w:t>0.000</w:t>
            </w:r>
          </w:p>
        </w:tc>
        <w:tc>
          <w:tcPr>
            <w:tcW w:type="dxa" w:w="1234"/>
          </w:tcPr>
          <w:p>
            <w:pPr>
              <w:jc w:val="center"/>
            </w:pPr>
            <w:r>
              <w:rPr>
                <w:b/>
              </w:rPr>
              <w:t>(0.003)</w:t>
            </w:r>
          </w:p>
        </w:tc>
      </w:tr>
      <w:tr>
        <w:tc>
          <w:tcPr>
            <w:tcW w:type="dxa" w:w="1234"/>
          </w:tcPr>
          <w:p>
            <w:pPr>
              <w:jc w:val="left"/>
            </w:pPr>
            <w:r>
              <w:rPr>
                <w:i/>
              </w:rPr>
              <w:t>Observations</w:t>
            </w:r>
          </w:p>
        </w:tc>
        <w:tc>
          <w:tcPr>
            <w:tcW w:type="dxa" w:w="2468"/>
            <w:gridSpan w:val="2"/>
          </w:tcPr>
          <w:p>
            <w:pPr>
              <w:jc w:val="center"/>
            </w:pPr>
            <w:r>
              <w:rPr>
                <w:i/>
              </w:rPr>
              <w:t>2,138</w:t>
            </w:r>
          </w:p>
        </w:tc>
        <w:tc>
          <w:tcPr>
            <w:tcW w:type="dxa" w:w="2468"/>
            <w:gridSpan w:val="2"/>
          </w:tcPr>
          <w:p>
            <w:pPr>
              <w:jc w:val="center"/>
            </w:pPr>
            <w:r>
              <w:rPr>
                <w:i/>
              </w:rPr>
              <w:t>2,138</w:t>
            </w:r>
          </w:p>
        </w:tc>
        <w:tc>
          <w:tcPr>
            <w:tcW w:type="dxa" w:w="2468"/>
            <w:gridSpan w:val="2"/>
          </w:tcPr>
          <w:p>
            <w:pPr>
              <w:jc w:val="center"/>
            </w:pPr>
            <w:r>
              <w:rPr>
                <w:i/>
              </w:rPr>
              <w:t>2,138</w:t>
            </w:r>
          </w:p>
        </w:tc>
      </w:tr>
      <w:tr>
        <w:tc>
          <w:tcPr>
            <w:tcW w:type="dxa" w:w="1234"/>
          </w:tcPr>
          <w:p>
            <w:pPr>
              <w:jc w:val="left"/>
            </w:pPr>
            <w:r>
              <w:rPr>
                <w:i/>
              </w:rPr>
              <w:t>Log-likelihood</w:t>
            </w:r>
          </w:p>
        </w:tc>
        <w:tc>
          <w:tcPr>
            <w:tcW w:type="dxa" w:w="2468"/>
            <w:gridSpan w:val="2"/>
          </w:tcPr>
          <w:p>
            <w:pPr>
              <w:jc w:val="center"/>
            </w:pPr>
            <w:r>
              <w:rPr>
                <w:i/>
              </w:rPr>
              <w:t>-3694</w:t>
            </w:r>
          </w:p>
        </w:tc>
        <w:tc>
          <w:tcPr>
            <w:tcW w:type="dxa" w:w="2468"/>
            <w:gridSpan w:val="2"/>
          </w:tcPr>
          <w:p>
            <w:pPr>
              <w:jc w:val="center"/>
            </w:pPr>
            <w:r>
              <w:rPr>
                <w:i/>
              </w:rPr>
              <w:t>-3642</w:t>
            </w:r>
          </w:p>
        </w:tc>
        <w:tc>
          <w:tcPr>
            <w:tcW w:type="dxa" w:w="2468"/>
            <w:gridSpan w:val="2"/>
          </w:tcPr>
          <w:p>
            <w:pPr>
              <w:jc w:val="center"/>
            </w:pPr>
            <w:r>
              <w:rPr>
                <w:i/>
              </w:rPr>
              <w:t>-3899</w:t>
            </w:r>
          </w:p>
        </w:tc>
      </w:tr>
      <w:tr>
        <w:tc>
          <w:tcPr>
            <w:tcW w:type="dxa" w:w="1234"/>
          </w:tcPr>
          <w:p>
            <w:pPr>
              <w:jc w:val="left"/>
            </w:pPr>
            <w:r>
              <w:rPr>
                <w:i/>
              </w:rPr>
              <w:t>AIC</w:t>
            </w:r>
          </w:p>
        </w:tc>
        <w:tc>
          <w:tcPr>
            <w:tcW w:type="dxa" w:w="2468"/>
            <w:gridSpan w:val="2"/>
          </w:tcPr>
          <w:p>
            <w:pPr>
              <w:jc w:val="center"/>
            </w:pPr>
            <w:r>
              <w:rPr>
                <w:i/>
              </w:rPr>
              <w:t>7400</w:t>
            </w:r>
          </w:p>
        </w:tc>
        <w:tc>
          <w:tcPr>
            <w:tcW w:type="dxa" w:w="2468"/>
            <w:gridSpan w:val="2"/>
          </w:tcPr>
          <w:p>
            <w:pPr>
              <w:jc w:val="center"/>
            </w:pPr>
            <w:r>
              <w:rPr>
                <w:i/>
              </w:rPr>
              <w:t>7305</w:t>
            </w:r>
          </w:p>
        </w:tc>
        <w:tc>
          <w:tcPr>
            <w:tcW w:type="dxa" w:w="2468"/>
            <w:gridSpan w:val="2"/>
          </w:tcPr>
          <w:p>
            <w:pPr>
              <w:jc w:val="center"/>
            </w:pPr>
            <w:r>
              <w:rPr>
                <w:i/>
              </w:rPr>
              <w:t>7817</w:t>
            </w:r>
          </w:p>
        </w:tc>
      </w:tr>
      <w:tr>
        <w:tc>
          <w:tcPr>
            <w:tcW w:type="dxa" w:w="1234"/>
          </w:tcPr>
          <w:p>
            <w:pPr>
              <w:jc w:val="left"/>
            </w:pPr>
            <w:r>
              <w:rPr>
                <w:i/>
              </w:rPr>
              <w:t>Pseudo-R2 (McFadden)</w:t>
            </w:r>
          </w:p>
        </w:tc>
        <w:tc>
          <w:tcPr>
            <w:tcW w:type="dxa" w:w="2468"/>
            <w:gridSpan w:val="2"/>
          </w:tcPr>
          <w:p>
            <w:pPr>
              <w:jc w:val="center"/>
            </w:pPr>
            <w:r>
              <w:rPr>
                <w:i/>
              </w:rPr>
              <w:t>0.063</w:t>
            </w:r>
          </w:p>
        </w:tc>
        <w:tc>
          <w:tcPr>
            <w:tcW w:type="dxa" w:w="2468"/>
            <w:gridSpan w:val="2"/>
          </w:tcPr>
          <w:p>
            <w:pPr>
              <w:jc w:val="center"/>
            </w:pPr>
            <w:r>
              <w:rPr>
                <w:i/>
              </w:rPr>
              <w:t>0.077</w:t>
            </w:r>
          </w:p>
        </w:tc>
        <w:tc>
          <w:tcPr>
            <w:tcW w:type="dxa" w:w="2468"/>
            <w:gridSpan w:val="2"/>
          </w:tcPr>
          <w:p>
            <w:pPr>
              <w:jc w:val="center"/>
            </w:pPr>
            <w:r>
              <w:rPr>
                <w:i/>
              </w:rPr>
              <w:t>0.243</w:t>
            </w:r>
          </w:p>
        </w:tc>
      </w:tr>
      <w:tr>
        <w:tc>
          <w:tcPr>
            <w:tcW w:type="dxa" w:w="1234"/>
          </w:tcPr>
          <w:p>
            <w:pPr>
              <w:jc w:val="left"/>
            </w:pPr>
            <w:r>
              <w:rPr>
                <w:i/>
              </w:rPr>
              <w:t>Sector offset</w:t>
            </w:r>
          </w:p>
        </w:tc>
        <w:tc>
          <w:tcPr>
            <w:tcW w:type="dxa" w:w="2468"/>
            <w:gridSpan w:val="2"/>
          </w:tcPr>
          <w:p>
            <w:pPr>
              <w:jc w:val="center"/>
            </w:pPr>
            <w:r>
              <w:rPr>
                <w:i/>
              </w:rPr>
              <w:t>No</w:t>
            </w:r>
          </w:p>
        </w:tc>
        <w:tc>
          <w:tcPr>
            <w:tcW w:type="dxa" w:w="2468"/>
            <w:gridSpan w:val="2"/>
          </w:tcPr>
          <w:p>
            <w:pPr>
              <w:jc w:val="center"/>
            </w:pPr>
            <w:r>
              <w:rPr>
                <w:i/>
              </w:rPr>
              <w:t>No</w:t>
            </w:r>
          </w:p>
        </w:tc>
        <w:tc>
          <w:tcPr>
            <w:tcW w:type="dxa" w:w="2468"/>
            <w:gridSpan w:val="2"/>
          </w:tcPr>
          <w:p>
            <w:pPr>
              <w:jc w:val="center"/>
            </w:pPr>
            <w:r>
              <w:rPr>
                <w:i/>
              </w:rPr>
              <w:t>Yes</w:t>
            </w:r>
          </w:p>
        </w:tc>
      </w:tr>
      <w:tr>
        <w:tc>
          <w:tcPr>
            <w:tcW w:type="dxa" w:w="1234"/>
          </w:tcPr>
          <w:p>
            <w:pPr>
              <w:jc w:val="left"/>
            </w:pPr>
            <w:r>
              <w:rPr>
                <w:i/>
              </w:rPr>
              <w:t>Conley SEs (50 km)</w:t>
            </w:r>
          </w:p>
        </w:tc>
        <w:tc>
          <w:tcPr>
            <w:tcW w:type="dxa" w:w="2468"/>
            <w:gridSpan w:val="2"/>
          </w:tcPr>
          <w:p>
            <w:pPr>
              <w:jc w:val="center"/>
            </w:pPr>
            <w:r>
              <w:rPr>
                <w:i/>
              </w:rPr>
              <w:t>Yes</w:t>
            </w:r>
          </w:p>
        </w:tc>
        <w:tc>
          <w:tcPr>
            <w:tcW w:type="dxa" w:w="2468"/>
            <w:gridSpan w:val="2"/>
          </w:tcPr>
          <w:p>
            <w:pPr>
              <w:jc w:val="center"/>
            </w:pPr>
            <w:r>
              <w:rPr>
                <w:i/>
              </w:rPr>
              <w:t>Yes</w:t>
            </w:r>
          </w:p>
        </w:tc>
        <w:tc>
          <w:tcPr>
            <w:tcW w:type="dxa" w:w="2468"/>
            <w:gridSpan w:val="2"/>
          </w:tcPr>
          <w:p>
            <w:pPr>
              <w:jc w:val="center"/>
            </w:pPr>
            <w:r>
              <w:rPr>
                <w:i/>
              </w:rPr>
              <w:t>Yes</w:t>
            </w:r>
          </w:p>
        </w:tc>
      </w:tr>
    </w:tbl>
    <w:p>
      <w:pPr>
        <w:spacing w:before="120" w:after="240"/>
      </w:pPr>
      <w:r>
        <w:t>Table 2 presents Poisson regression estimates of the funnel effect across three specifications. The key coefficient of interest is Post-SFA x D_i, which captures whether cells with higher danger index values experienced a larger increase in deaths after the SFA. This coefficient is positive and statistically significant across all three specifications, indicating a robust funnel effect. The robustness of this result when the offset absorbs variation in crossing intensity suggests the effect reflects a genuine increase in the lethality of crossings in high-danger terrain, not merely an increase in crossing volume. Post-SFA x Distance to fence is negative and significant in specifications (2) and (3), consistent with the fence physically redirecting crossers into adjacent dangerous corridors. Post-SFA x Distance to gap is positive but falls short of conventional significance levels, suggesting proximity to fence gaps plays a secondary role once terrain danger is accounted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