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Times New Roman" w:hAnsi="Times New Roman"/>
          <w:b/>
          <w:sz w:val="22"/>
        </w:rPr>
        <w:t xml:space="preserve">Table 4. </w:t>
      </w:r>
      <w:r>
        <w:rPr>
          <w:rFonts w:ascii="Times New Roman" w:hAnsi="Times New Roman"/>
          <w:i/>
          <w:sz w:val="22"/>
        </w:rPr>
        <w:t>Sample of Summary Statistics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Characteristic</w:t>
            </w:r>
          </w:p>
        </w:tc>
        <w:tc>
          <w:tcPr>
            <w:tcW w:type="dxa" w:w="2016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Total</w:t>
            </w:r>
          </w:p>
        </w:tc>
        <w:tc>
          <w:tcPr>
            <w:tcW w:type="dxa" w:w="2016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Before</w:t>
            </w:r>
            <w:r>
              <w:rPr>
                <w:rFonts w:ascii="Times New Roman" w:hAnsi="Times New Roman"/>
                <w:sz w:val="21"/>
                <w:vertAlign w:val="superscript"/>
              </w:rPr>
              <w:t>a</w:t>
            </w:r>
          </w:p>
        </w:tc>
        <w:tc>
          <w:tcPr>
            <w:tcW w:type="dxa" w:w="2016"/>
            <w:tcBorders>
              <w:left w:val="nil"/>
              <w:right w:val="nil"/>
              <w:insideH w:val="nil"/>
              <w:insideV w:val="nil"/>
              <w:top w:val="single" w:sz="12" w:space="0" w:color="000000"/>
              <w:bottom w:val="single" w:sz="6" w:space="0" w:color="000000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After</w:t>
            </w:r>
            <w:r>
              <w:rPr>
                <w:rFonts w:ascii="Times New Roman" w:hAnsi="Times New Roman"/>
                <w:sz w:val="21"/>
                <w:vertAlign w:val="superscript"/>
              </w:rPr>
              <w:t>b</w:t>
            </w:r>
          </w:p>
        </w:tc>
      </w:tr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Gender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Male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2,570 (85%)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967 (80%)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1,603 (88%)</w:t>
            </w:r>
          </w:p>
        </w:tc>
      </w:tr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Female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451 (15%)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246 (20%)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205 (11%)</w:t>
            </w:r>
          </w:p>
        </w:tc>
      </w:tr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Unknown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20 (1%)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 (0%)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18 (1%)</w:t>
            </w:r>
          </w:p>
        </w:tc>
      </w:tr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Age group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Under 18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95 (3%)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58 (5%)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37 (2%)</w:t>
            </w:r>
          </w:p>
        </w:tc>
      </w:tr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18–30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902 (30%)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407 (33%)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495 (27%)</w:t>
            </w:r>
          </w:p>
        </w:tc>
      </w:tr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Over 30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949 (31%)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397 (33%)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552 (30%)</w:t>
            </w:r>
          </w:p>
        </w:tc>
      </w:tr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Unknown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1,095 (36%)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353 (29%)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742 (41%)</w:t>
            </w:r>
          </w:p>
        </w:tc>
      </w:tr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Cause of death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Exposure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1,159 (38%)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645 (53%)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514 (28%)</w:t>
            </w:r>
          </w:p>
        </w:tc>
      </w:tr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Blunt force injury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160 (5%)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91 (7%)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69 (4%)</w:t>
            </w:r>
          </w:p>
        </w:tc>
      </w:tr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Undetermined</w:t>
            </w:r>
            <w:r>
              <w:rPr>
                <w:rFonts w:ascii="Times New Roman" w:hAnsi="Times New Roman"/>
                <w:sz w:val="21"/>
                <w:vertAlign w:val="superscript"/>
              </w:rPr>
              <w:t>c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1,486 (49%)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354 (29%)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1,132 (62%)</w:t>
            </w:r>
          </w:p>
        </w:tc>
      </w:tr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Other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236 (8%)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125 (10%)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111 (6%)</w:t>
            </w:r>
          </w:p>
        </w:tc>
      </w:tr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Summary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</w:r>
          </w:p>
        </w:tc>
      </w:tr>
      <w:tr>
        <w:tc>
          <w:tcPr>
            <w:tcW w:type="dxa" w:w="27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Total reported deaths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3,041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1,215 (40%)</w:t>
            </w:r>
          </w:p>
        </w:tc>
        <w:tc>
          <w:tcPr>
            <w:tcW w:type="dxa" w:w="201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1,826 (60%)</w:t>
            </w:r>
          </w:p>
        </w:tc>
      </w:tr>
      <w:tr>
        <w:tc>
          <w:tcPr>
            <w:tcW w:type="dxa" w:w="2736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30" w:after="3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Average deaths per year</w:t>
            </w:r>
          </w:p>
        </w:tc>
        <w:tc>
          <w:tcPr>
            <w:tcW w:type="dxa" w:w="2016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152</w:t>
            </w:r>
          </w:p>
        </w:tc>
        <w:tc>
          <w:tcPr>
            <w:tcW w:type="dxa" w:w="2016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152</w:t>
            </w:r>
          </w:p>
        </w:tc>
        <w:tc>
          <w:tcPr>
            <w:tcW w:type="dxa" w:w="2016"/>
            <w:tcBorders>
              <w:top w:val="nil"/>
              <w:left w:val="nil"/>
              <w:right w:val="nil"/>
              <w:insideH w:val="nil"/>
              <w:insideV w:val="nil"/>
              <w:bottom w:val="single" w:sz="12" w:space="0" w:color="000000"/>
            </w:tcBorders>
          </w:tcPr>
          <w:p>
            <w:pPr>
              <w:spacing w:before="30" w:after="3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152</w:t>
            </w:r>
          </w:p>
        </w:tc>
      </w:tr>
    </w:tbl>
    <w:p>
      <w:pPr>
        <w:spacing w:before="12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Percentages are of each column's total N and are rounded to the nearest whole percent, so a characteristic's rows may not sum to exactly 100%.</w:t>
      </w:r>
    </w:p>
    <w:p>
      <w:pPr>
        <w:spacing w:before="12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ᵃ8 years (2000–2007); includes 2008 deaths with a postmortem interval greater than 6–8 months, reclassified as pre-SFA since the death itself likely occurred in 2007.</w:t>
      </w:r>
    </w:p>
    <w:p>
      <w:pPr>
        <w:spacing w:before="12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ᵇ12 years (2008–2019); excludes deaths with a blank postmortem-interval field, since there is no way to determine which side of the SFA's passage they occurred on.</w:t>
      </w:r>
    </w:p>
    <w:p>
      <w:pPr>
        <w:spacing w:before="12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ᶜIncludes “undetermined” and “skeletal remains” causes of death.</w:t>
      </w:r>
    </w:p>
    <w:p>
      <w:pPr>
        <w:spacing w:before="120"/>
      </w:pPr>
      <w:r>
        <w:rPr>
          <w:rFonts w:ascii="Times New Roman" w:hAnsi="Times New Roman"/>
          <w:i/>
          <w:sz w:val="18"/>
        </w:rPr>
        <w:t xml:space="preserve">Note. </w:t>
      </w:r>
      <w:r>
        <w:rPr>
          <w:rFonts w:ascii="Times New Roman" w:hAnsi="Times New Roman"/>
          <w:sz w:val="18"/>
        </w:rPr>
        <w:t>Every cell above was independently recomputed from the underlying death-records CSV (see summarize_death_demographics.py) using this project's validated pre-/post-SFA classification. Content matches the original Table 4 exactly, confirming the reproduction pipeline reproduces the paper's own demographic breakdown, not just the headline sample sizes, with two exceptions differing by 1 percentage point (Total male, 85% here vs. 84% in the original; Before blunt force injury, 7% here vs. 8% in the original), both attributable to a rounding-convention difference rather than a data discrepancy.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