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Table 1. Migrant Deaths per Cell by Danger Index Tercile: Pre- vs. Post-SFA</w:t>
      </w:r>
    </w:p>
    <w:p>
      <w:r>
        <w:t>Unit of observation is the grid cell–period (0.044° cells, ~2.7 miles per side). Danger index terciles are defined over the full sample of active cells. Difference = Post-SFA mean − Pre-SFA mean. t-statistics from two-sample t-tests (unequal variances). *** p&lt;0.01  ** p&lt;0.05  * p&lt;0.10.</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D9D9"/>
          </w:tcPr>
          <w:p>
            <w:pPr>
              <w:jc w:val="center"/>
            </w:pPr>
            <w:r>
              <w:rPr>
                <w:b/>
              </w:rPr>
              <w:t>Danger Index</w:t>
              <w:br/>
              <w:t>Tercile</w:t>
            </w:r>
          </w:p>
        </w:tc>
        <w:tc>
          <w:tcPr>
            <w:tcW w:type="dxa" w:w="1080"/>
            <w:shd w:val="clear" w:color="auto" w:fill="D9D9D9"/>
          </w:tcPr>
          <w:p>
            <w:pPr>
              <w:jc w:val="center"/>
            </w:pPr>
            <w:r>
              <w:rPr>
                <w:b/>
              </w:rPr>
              <w:t>Pre-SFA</w:t>
              <w:br/>
              <w:t>Mean Deaths</w:t>
            </w:r>
          </w:p>
        </w:tc>
        <w:tc>
          <w:tcPr>
            <w:tcW w:type="dxa" w:w="1080"/>
            <w:shd w:val="clear" w:color="auto" w:fill="D9D9D9"/>
          </w:tcPr>
          <w:p>
            <w:pPr>
              <w:jc w:val="center"/>
            </w:pPr>
            <w:r>
              <w:rPr>
                <w:b/>
              </w:rPr>
              <w:t>Pre-SFA</w:t>
              <w:br/>
              <w:t>N Cells</w:t>
            </w:r>
          </w:p>
        </w:tc>
        <w:tc>
          <w:tcPr>
            <w:tcW w:type="dxa" w:w="1080"/>
            <w:shd w:val="clear" w:color="auto" w:fill="D9D9D9"/>
          </w:tcPr>
          <w:p>
            <w:pPr>
              <w:jc w:val="center"/>
            </w:pPr>
            <w:r>
              <w:rPr>
                <w:b/>
              </w:rPr>
              <w:t>Post-SFA</w:t>
              <w:br/>
              <w:t>Mean Deaths</w:t>
            </w:r>
          </w:p>
        </w:tc>
        <w:tc>
          <w:tcPr>
            <w:tcW w:type="dxa" w:w="1080"/>
            <w:shd w:val="clear" w:color="auto" w:fill="D9D9D9"/>
          </w:tcPr>
          <w:p>
            <w:pPr>
              <w:jc w:val="center"/>
            </w:pPr>
            <w:r>
              <w:rPr>
                <w:b/>
              </w:rPr>
              <w:t>Post-SFA</w:t>
              <w:br/>
              <w:t>N Cells</w:t>
            </w:r>
          </w:p>
        </w:tc>
        <w:tc>
          <w:tcPr>
            <w:tcW w:type="dxa" w:w="1080"/>
            <w:shd w:val="clear" w:color="auto" w:fill="D9D9D9"/>
          </w:tcPr>
          <w:p>
            <w:pPr>
              <w:jc w:val="center"/>
            </w:pPr>
            <w:r>
              <w:rPr>
                <w:b/>
              </w:rPr>
              <w:t>Difference</w:t>
            </w:r>
          </w:p>
        </w:tc>
        <w:tc>
          <w:tcPr>
            <w:tcW w:type="dxa" w:w="1080"/>
            <w:shd w:val="clear" w:color="auto" w:fill="D9D9D9"/>
          </w:tcPr>
          <w:p>
            <w:pPr>
              <w:jc w:val="center"/>
            </w:pPr>
            <w:r>
              <w:rPr>
                <w:b/>
              </w:rPr>
              <w:t>% Change</w:t>
            </w:r>
          </w:p>
        </w:tc>
        <w:tc>
          <w:tcPr>
            <w:tcW w:type="dxa" w:w="1080"/>
            <w:shd w:val="clear" w:color="auto" w:fill="D9D9D9"/>
          </w:tcPr>
          <w:p>
            <w:pPr>
              <w:jc w:val="center"/>
            </w:pPr>
            <w:r>
              <w:rPr>
                <w:b/>
              </w:rPr>
              <w:t>t-statistic</w:t>
            </w:r>
          </w:p>
        </w:tc>
      </w:tr>
      <w:tr>
        <w:tc>
          <w:tcPr>
            <w:tcW w:type="dxa" w:w="1080"/>
          </w:tcPr>
          <w:p>
            <w:pPr>
              <w:jc w:val="left"/>
            </w:pPr>
            <w:r>
              <w:t>Low (D_i = 7–16)</w:t>
            </w:r>
          </w:p>
        </w:tc>
        <w:tc>
          <w:tcPr>
            <w:tcW w:type="dxa" w:w="1080"/>
          </w:tcPr>
          <w:p>
            <w:pPr>
              <w:jc w:val="center"/>
            </w:pPr>
            <w:r>
              <w:t>1.140</w:t>
            </w:r>
          </w:p>
        </w:tc>
        <w:tc>
          <w:tcPr>
            <w:tcW w:type="dxa" w:w="1080"/>
          </w:tcPr>
          <w:p>
            <w:pPr>
              <w:jc w:val="center"/>
            </w:pPr>
            <w:r>
              <w:t>436</w:t>
            </w:r>
          </w:p>
        </w:tc>
        <w:tc>
          <w:tcPr>
            <w:tcW w:type="dxa" w:w="1080"/>
          </w:tcPr>
          <w:p>
            <w:pPr>
              <w:jc w:val="center"/>
            </w:pPr>
            <w:r>
              <w:t>1.562</w:t>
            </w:r>
          </w:p>
        </w:tc>
        <w:tc>
          <w:tcPr>
            <w:tcW w:type="dxa" w:w="1080"/>
          </w:tcPr>
          <w:p>
            <w:pPr>
              <w:jc w:val="center"/>
            </w:pPr>
            <w:r>
              <w:t>436</w:t>
            </w:r>
          </w:p>
        </w:tc>
        <w:tc>
          <w:tcPr>
            <w:tcW w:type="dxa" w:w="1080"/>
          </w:tcPr>
          <w:p>
            <w:pPr>
              <w:jc w:val="center"/>
            </w:pPr>
            <w:r>
              <w:t>+0.422</w:t>
            </w:r>
          </w:p>
        </w:tc>
        <w:tc>
          <w:tcPr>
            <w:tcW w:type="dxa" w:w="1080"/>
          </w:tcPr>
          <w:p>
            <w:pPr>
              <w:jc w:val="center"/>
            </w:pPr>
            <w:r>
              <w:t>+37.0%</w:t>
            </w:r>
          </w:p>
        </w:tc>
        <w:tc>
          <w:tcPr>
            <w:tcW w:type="dxa" w:w="1080"/>
          </w:tcPr>
          <w:p>
            <w:pPr>
              <w:jc w:val="center"/>
            </w:pPr>
            <w:r>
              <w:t>2.87***</w:t>
            </w:r>
          </w:p>
        </w:tc>
      </w:tr>
      <w:tr>
        <w:tc>
          <w:tcPr>
            <w:tcW w:type="dxa" w:w="1080"/>
          </w:tcPr>
          <w:p>
            <w:pPr>
              <w:jc w:val="left"/>
            </w:pPr>
            <w:r>
              <w:t>Medium (D_i = 17–18)</w:t>
            </w:r>
          </w:p>
        </w:tc>
        <w:tc>
          <w:tcPr>
            <w:tcW w:type="dxa" w:w="1080"/>
          </w:tcPr>
          <w:p>
            <w:pPr>
              <w:jc w:val="center"/>
            </w:pPr>
            <w:r>
              <w:t>1.358</w:t>
            </w:r>
          </w:p>
        </w:tc>
        <w:tc>
          <w:tcPr>
            <w:tcW w:type="dxa" w:w="1080"/>
          </w:tcPr>
          <w:p>
            <w:pPr>
              <w:jc w:val="center"/>
            </w:pPr>
            <w:r>
              <w:t>285</w:t>
            </w:r>
          </w:p>
        </w:tc>
        <w:tc>
          <w:tcPr>
            <w:tcW w:type="dxa" w:w="1080"/>
          </w:tcPr>
          <w:p>
            <w:pPr>
              <w:jc w:val="center"/>
            </w:pPr>
            <w:r>
              <w:t>1.446</w:t>
            </w:r>
          </w:p>
        </w:tc>
        <w:tc>
          <w:tcPr>
            <w:tcW w:type="dxa" w:w="1080"/>
          </w:tcPr>
          <w:p>
            <w:pPr>
              <w:jc w:val="center"/>
            </w:pPr>
            <w:r>
              <w:t>285</w:t>
            </w:r>
          </w:p>
        </w:tc>
        <w:tc>
          <w:tcPr>
            <w:tcW w:type="dxa" w:w="1080"/>
          </w:tcPr>
          <w:p>
            <w:pPr>
              <w:jc w:val="center"/>
            </w:pPr>
            <w:r>
              <w:t>+0.088</w:t>
            </w:r>
          </w:p>
        </w:tc>
        <w:tc>
          <w:tcPr>
            <w:tcW w:type="dxa" w:w="1080"/>
          </w:tcPr>
          <w:p>
            <w:pPr>
              <w:jc w:val="center"/>
            </w:pPr>
            <w:r>
              <w:t>+6.5%</w:t>
            </w:r>
          </w:p>
        </w:tc>
        <w:tc>
          <w:tcPr>
            <w:tcW w:type="dxa" w:w="1080"/>
          </w:tcPr>
          <w:p>
            <w:pPr>
              <w:jc w:val="center"/>
            </w:pPr>
            <w:r>
              <w:t>0.56</w:t>
            </w:r>
          </w:p>
        </w:tc>
      </w:tr>
      <w:tr>
        <w:tc>
          <w:tcPr>
            <w:tcW w:type="dxa" w:w="1080"/>
          </w:tcPr>
          <w:p>
            <w:pPr>
              <w:jc w:val="left"/>
            </w:pPr>
            <w:r>
              <w:t>High (D_i = 19–22)</w:t>
            </w:r>
          </w:p>
        </w:tc>
        <w:tc>
          <w:tcPr>
            <w:tcW w:type="dxa" w:w="1080"/>
          </w:tcPr>
          <w:p>
            <w:pPr>
              <w:jc w:val="center"/>
            </w:pPr>
            <w:r>
              <w:t>0.948</w:t>
            </w:r>
          </w:p>
        </w:tc>
        <w:tc>
          <w:tcPr>
            <w:tcW w:type="dxa" w:w="1080"/>
          </w:tcPr>
          <w:p>
            <w:pPr>
              <w:jc w:val="center"/>
            </w:pPr>
            <w:r>
              <w:t>349</w:t>
            </w:r>
          </w:p>
        </w:tc>
        <w:tc>
          <w:tcPr>
            <w:tcW w:type="dxa" w:w="1080"/>
          </w:tcPr>
          <w:p>
            <w:pPr>
              <w:jc w:val="center"/>
            </w:pPr>
            <w:r>
              <w:t>2.100</w:t>
            </w:r>
          </w:p>
        </w:tc>
        <w:tc>
          <w:tcPr>
            <w:tcW w:type="dxa" w:w="1080"/>
          </w:tcPr>
          <w:p>
            <w:pPr>
              <w:jc w:val="center"/>
            </w:pPr>
            <w:r>
              <w:t>349</w:t>
            </w:r>
          </w:p>
        </w:tc>
        <w:tc>
          <w:tcPr>
            <w:tcW w:type="dxa" w:w="1080"/>
          </w:tcPr>
          <w:p>
            <w:pPr>
              <w:jc w:val="center"/>
            </w:pPr>
            <w:r>
              <w:t>+1.152</w:t>
            </w:r>
          </w:p>
        </w:tc>
        <w:tc>
          <w:tcPr>
            <w:tcW w:type="dxa" w:w="1080"/>
          </w:tcPr>
          <w:p>
            <w:pPr>
              <w:jc w:val="center"/>
            </w:pPr>
            <w:r>
              <w:t>+121.5%</w:t>
            </w:r>
          </w:p>
        </w:tc>
        <w:tc>
          <w:tcPr>
            <w:tcW w:type="dxa" w:w="1080"/>
          </w:tcPr>
          <w:p>
            <w:pPr>
              <w:jc w:val="center"/>
            </w:pPr>
            <w:r>
              <w:t>7.36***</w:t>
            </w:r>
          </w:p>
        </w:tc>
      </w:tr>
      <w:tr>
        <w:tc>
          <w:tcPr>
            <w:tcW w:type="dxa" w:w="1080"/>
            <w:shd w:val="clear" w:color="auto" w:fill="E6F0FF"/>
          </w:tcPr>
          <w:p>
            <w:pPr>
              <w:jc w:val="left"/>
            </w:pPr>
            <w:r>
              <w:rPr>
                <w:b/>
              </w:rPr>
              <w:t>DiD (High − Low)</w:t>
            </w:r>
          </w:p>
        </w:tc>
        <w:tc>
          <w:tcPr>
            <w:tcW w:type="dxa" w:w="1080"/>
          </w:tcPr>
          <w:p>
            <w:pPr>
              <w:jc w:val="center"/>
            </w:pPr>
            <w:r>
              <w:rPr>
                <w:b/>
              </w:rPr>
              <w:t>-0.191</w:t>
            </w:r>
          </w:p>
        </w:tc>
        <w:tc>
          <w:tcPr>
            <w:tcW w:type="dxa" w:w="1080"/>
          </w:tcPr>
          <w:p>
            <w:pPr>
              <w:jc w:val="center"/>
            </w:pPr>
            <w:r>
              <w:rPr>
                <w:b/>
              </w:rPr>
              <w:t>H−L pre</w:t>
            </w:r>
          </w:p>
        </w:tc>
        <w:tc>
          <w:tcPr>
            <w:tcW w:type="dxa" w:w="1080"/>
          </w:tcPr>
          <w:p>
            <w:pPr>
              <w:jc w:val="center"/>
            </w:pPr>
            <w:r>
              <w:rPr>
                <w:b/>
              </w:rPr>
              <w:t>+0.538</w:t>
            </w:r>
          </w:p>
        </w:tc>
        <w:tc>
          <w:tcPr>
            <w:tcW w:type="dxa" w:w="1080"/>
          </w:tcPr>
          <w:p>
            <w:pPr>
              <w:jc w:val="center"/>
            </w:pPr>
            <w:r>
              <w:rPr>
                <w:b/>
              </w:rPr>
              <w:t>H−L post</w:t>
            </w:r>
          </w:p>
        </w:tc>
        <w:tc>
          <w:tcPr>
            <w:tcW w:type="dxa" w:w="1080"/>
          </w:tcPr>
          <w:p>
            <w:pPr>
              <w:jc w:val="center"/>
            </w:pPr>
            <w:r>
              <w:rPr>
                <w:b/>
              </w:rPr>
              <w:t>+0.730</w:t>
            </w:r>
          </w:p>
        </w:tc>
        <w:tc>
          <w:tcPr>
            <w:tcW w:type="dxa" w:w="1080"/>
          </w:tcPr>
          <w:p>
            <w:pPr>
              <w:jc w:val="center"/>
            </w:pPr>
            <w:r>
              <w:rPr>
                <w:b/>
              </w:rPr>
              <w:t>+84.4 pp</w:t>
            </w:r>
          </w:p>
        </w:tc>
        <w:tc>
          <w:tcPr>
            <w:tcW w:type="dxa" w:w="1080"/>
          </w:tcPr>
          <w:p>
            <w:pPr>
              <w:jc w:val="center"/>
            </w:pPr>
            <w:r>
              <w:rPr>
                <w:b/>
              </w:rPr>
              <w:t>3.81***</w:t>
            </w:r>
          </w:p>
        </w:tc>
      </w:tr>
      <w:tr>
        <w:tc>
          <w:tcPr>
            <w:tcW w:type="dxa" w:w="1080"/>
            <w:shd w:val="clear" w:color="auto" w:fill="F2F2F2"/>
          </w:tcPr>
          <w:p>
            <w:pPr>
              <w:jc w:val="left"/>
            </w:pPr>
            <w:r>
              <w:rPr>
                <w:b/>
              </w:rPr>
              <w:t>All cells</w:t>
            </w:r>
          </w:p>
        </w:tc>
        <w:tc>
          <w:tcPr>
            <w:tcW w:type="dxa" w:w="1080"/>
          </w:tcPr>
          <w:p>
            <w:pPr>
              <w:jc w:val="center"/>
            </w:pPr>
            <w:r>
              <w:rPr>
                <w:b/>
              </w:rPr>
              <w:t>1.136</w:t>
            </w:r>
          </w:p>
        </w:tc>
        <w:tc>
          <w:tcPr>
            <w:tcW w:type="dxa" w:w="1080"/>
          </w:tcPr>
          <w:p>
            <w:pPr>
              <w:jc w:val="center"/>
            </w:pPr>
            <w:r>
              <w:rPr>
                <w:b/>
              </w:rPr>
              <w:t>1070</w:t>
            </w:r>
          </w:p>
        </w:tc>
        <w:tc>
          <w:tcPr>
            <w:tcW w:type="dxa" w:w="1080"/>
          </w:tcPr>
          <w:p>
            <w:pPr>
              <w:jc w:val="center"/>
            </w:pPr>
            <w:r>
              <w:rPr>
                <w:b/>
              </w:rPr>
              <w:t>1.707</w:t>
            </w:r>
          </w:p>
        </w:tc>
        <w:tc>
          <w:tcPr>
            <w:tcW w:type="dxa" w:w="1080"/>
          </w:tcPr>
          <w:p>
            <w:pPr>
              <w:jc w:val="center"/>
            </w:pPr>
            <w:r>
              <w:rPr>
                <w:b/>
              </w:rPr>
              <w:t>1070</w:t>
            </w:r>
          </w:p>
        </w:tc>
        <w:tc>
          <w:tcPr>
            <w:tcW w:type="dxa" w:w="1080"/>
          </w:tcPr>
          <w:p>
            <w:pPr>
              <w:jc w:val="center"/>
            </w:pPr>
            <w:r>
              <w:rPr>
                <w:b/>
              </w:rPr>
              <w:t>+0.571</w:t>
            </w:r>
          </w:p>
        </w:tc>
        <w:tc>
          <w:tcPr>
            <w:tcW w:type="dxa" w:w="1080"/>
          </w:tcPr>
          <w:p>
            <w:pPr>
              <w:jc w:val="center"/>
            </w:pPr>
            <w:r>
              <w:rPr>
                <w:b/>
              </w:rPr>
              <w:t>+50.3%</w:t>
            </w:r>
          </w:p>
        </w:tc>
        <w:tc>
          <w:tcPr>
            <w:tcW w:type="dxa" w:w="1080"/>
          </w:tcPr>
          <w:p>
            <w:pPr>
              <w:jc w:val="center"/>
            </w:pPr>
            <w:r>
              <w:rPr>
                <w:b/>
              </w:rPr>
              <w:t>6.39***</w:t>
            </w:r>
          </w:p>
        </w:tc>
      </w:tr>
    </w:tbl>
    <w:p>
      <w:pPr>
        <w:spacing w:before="120" w:after="240"/>
      </w:pPr>
      <w:r>
        <w:t>Table 1 presents a simple difference-in-differences comparison of mean migrant deaths per grid cell across danger index terciles before and after the Secure Fence Act (SFA). Deaths increased in all three terciles following the SFA, but the magnitude differs sharply by terrain type. In the high-danger tercile — cells with extreme heat, elevation, and remoteness — deaths per cell rose by 1.152, a 121.5% increase that is highly significant (t = 7.36, p &lt; 0.001). By contrast, the medium-danger tercile shows virtually no change (+0.088, t = 0.56, p = 0.577). The low-danger tercile also sees a statistically significant increase (+0.422, +37.0%), consistent with some displacement toward lower-risk remote areas. The difference-in-differences estimate — comparing the change in high-danger cells to the change in low-danger cells — is +0.730 deaths per cell (t = 3.81, p &lt; 0.001), confirming that the post-SFA increase was disproportionately concentrated in the most hazardous terrain. This pattern is consistent with a funnel effect: enforcement infrastructure channeled crossings away from urban ports of entry and into remote, high-danger corridors, driving up mortality.</w:t>
      </w:r>
    </w:p>
    <w:p/>
    <w:p>
      <w:pPr>
        <w:pStyle w:val="Heading2"/>
      </w:pPr>
      <w:r>
        <w:t>Table 2. Poisson Difference-in-Differences: Migrant Deaths per Grid Cell</w:t>
      </w:r>
    </w:p>
    <w:p>
      <w:r>
        <w:t>Poisson regression. Dependent variable: deaths per 0.044° grid cell–period. Specification (1): baseline DiD with danger index interaction. Specification (2): adds distance to nearest fence segment and fence gap. Specification (3): Specification (2) with log sector apprehensions as Poisson offset (dependent variable becomes death rate per crossing attempt). Standard errors are Conley (1999) spatial HAC with 50 km cutoff. *** p&lt;0.01  ** p&lt;0.05  * p&lt;0.10.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pPr>
              <w:jc w:val="center"/>
            </w:pPr>
            <w:r>
              <w:rPr>
                <w:b/>
              </w:rPr>
              <w:t>Variable</w:t>
            </w:r>
          </w:p>
        </w:tc>
        <w:tc>
          <w:tcPr>
            <w:tcW w:type="dxa" w:w="1234"/>
            <w:shd w:val="clear" w:color="auto" w:fill="D9D9D9"/>
          </w:tcPr>
          <w:p>
            <w:pPr>
              <w:jc w:val="center"/>
            </w:pPr>
            <w:r>
              <w:rPr>
                <w:b/>
              </w:rPr>
              <w:t>(1) β</w:t>
            </w:r>
          </w:p>
        </w:tc>
        <w:tc>
          <w:tcPr>
            <w:tcW w:type="dxa" w:w="1234"/>
            <w:shd w:val="clear" w:color="auto" w:fill="D9D9D9"/>
          </w:tcPr>
          <w:p>
            <w:pPr>
              <w:jc w:val="center"/>
            </w:pPr>
            <w:r>
              <w:rPr>
                <w:b/>
              </w:rPr>
              <w:t>(1) SE</w:t>
            </w:r>
          </w:p>
        </w:tc>
        <w:tc>
          <w:tcPr>
            <w:tcW w:type="dxa" w:w="1234"/>
            <w:shd w:val="clear" w:color="auto" w:fill="D9D9D9"/>
          </w:tcPr>
          <w:p>
            <w:pPr>
              <w:jc w:val="center"/>
            </w:pPr>
            <w:r>
              <w:rPr>
                <w:b/>
              </w:rPr>
              <w:t>(2) β</w:t>
            </w:r>
          </w:p>
        </w:tc>
        <w:tc>
          <w:tcPr>
            <w:tcW w:type="dxa" w:w="1234"/>
            <w:shd w:val="clear" w:color="auto" w:fill="D9D9D9"/>
          </w:tcPr>
          <w:p>
            <w:pPr>
              <w:jc w:val="center"/>
            </w:pPr>
            <w:r>
              <w:rPr>
                <w:b/>
              </w:rPr>
              <w:t>(2) SE</w:t>
            </w:r>
          </w:p>
        </w:tc>
        <w:tc>
          <w:tcPr>
            <w:tcW w:type="dxa" w:w="1234"/>
            <w:shd w:val="clear" w:color="auto" w:fill="D9D9D9"/>
          </w:tcPr>
          <w:p>
            <w:pPr>
              <w:jc w:val="center"/>
            </w:pPr>
            <w:r>
              <w:rPr>
                <w:b/>
              </w:rPr>
              <w:t>(3) β</w:t>
            </w:r>
          </w:p>
        </w:tc>
        <w:tc>
          <w:tcPr>
            <w:tcW w:type="dxa" w:w="1234"/>
            <w:shd w:val="clear" w:color="auto" w:fill="D9D9D9"/>
          </w:tcPr>
          <w:p>
            <w:pPr>
              <w:jc w:val="center"/>
            </w:pPr>
            <w:r>
              <w:rPr>
                <w:b/>
              </w:rPr>
              <w:t>(3) SE</w:t>
            </w:r>
          </w:p>
        </w:tc>
      </w:tr>
      <w:tr>
        <w:tc>
          <w:tcPr>
            <w:tcW w:type="dxa" w:w="1234"/>
            <w:shd w:val="clear" w:color="auto" w:fill="F2F2F2"/>
          </w:tcPr>
          <w:p>
            <w:pPr>
              <w:jc w:val="center"/>
            </w:pPr>
            <w:r>
              <w:rPr>
                <w:b/>
              </w:rPr>
            </w:r>
          </w:p>
        </w:tc>
        <w:tc>
          <w:tcPr>
            <w:tcW w:type="dxa" w:w="2468"/>
            <w:gridSpan w:val="2"/>
            <w:shd w:val="clear" w:color="auto" w:fill="F2F2F2"/>
          </w:tcPr>
          <w:p>
            <w:pPr>
              <w:jc w:val="center"/>
            </w:pPr>
            <w:r>
              <w:rPr>
                <w:b/>
              </w:rPr>
              <w:t>(1) Baseline</w:t>
            </w:r>
          </w:p>
        </w:tc>
        <w:tc>
          <w:tcPr>
            <w:tcW w:type="dxa" w:w="2468"/>
            <w:gridSpan w:val="2"/>
            <w:shd w:val="clear" w:color="auto" w:fill="F2F2F2"/>
          </w:tcPr>
          <w:p>
            <w:pPr>
              <w:jc w:val="center"/>
            </w:pPr>
            <w:r>
              <w:rPr>
                <w:b/>
              </w:rPr>
              <w:t>(2) + Fence/Gap</w:t>
            </w:r>
          </w:p>
        </w:tc>
        <w:tc>
          <w:tcPr>
            <w:tcW w:type="dxa" w:w="2468"/>
            <w:gridSpan w:val="2"/>
            <w:shd w:val="clear" w:color="auto" w:fill="F2F2F2"/>
          </w:tcPr>
          <w:p>
            <w:pPr>
              <w:jc w:val="center"/>
            </w:pPr>
            <w:r>
              <w:rPr>
                <w:b/>
              </w:rPr>
              <w:t>(3) + Offset</w:t>
            </w:r>
          </w:p>
        </w:tc>
      </w:tr>
      <w:tr>
        <w:tc>
          <w:tcPr>
            <w:tcW w:type="dxa" w:w="1234"/>
          </w:tcPr>
          <w:p>
            <w:r>
              <w:t>Constant</w:t>
            </w:r>
          </w:p>
        </w:tc>
        <w:tc>
          <w:tcPr>
            <w:tcW w:type="dxa" w:w="1234"/>
          </w:tcPr>
          <w:p>
            <w:pPr>
              <w:jc w:val="center"/>
            </w:pPr>
            <w:r>
              <w:t>5.999</w:t>
            </w:r>
          </w:p>
        </w:tc>
        <w:tc>
          <w:tcPr>
            <w:tcW w:type="dxa" w:w="1234"/>
          </w:tcPr>
          <w:p>
            <w:pPr>
              <w:jc w:val="center"/>
            </w:pPr>
            <w:r>
              <w:t>(8.430)</w:t>
            </w:r>
          </w:p>
        </w:tc>
        <w:tc>
          <w:tcPr>
            <w:tcW w:type="dxa" w:w="1234"/>
          </w:tcPr>
          <w:p>
            <w:pPr>
              <w:jc w:val="center"/>
            </w:pPr>
            <w:r>
              <w:t>17.202**</w:t>
            </w:r>
          </w:p>
        </w:tc>
        <w:tc>
          <w:tcPr>
            <w:tcW w:type="dxa" w:w="1234"/>
          </w:tcPr>
          <w:p>
            <w:pPr>
              <w:jc w:val="center"/>
            </w:pPr>
            <w:r>
              <w:t>(7.391)</w:t>
            </w:r>
          </w:p>
        </w:tc>
        <w:tc>
          <w:tcPr>
            <w:tcW w:type="dxa" w:w="1234"/>
          </w:tcPr>
          <w:p>
            <w:pPr>
              <w:jc w:val="center"/>
            </w:pPr>
            <w:r>
              <w:t>-27.347*</w:t>
            </w:r>
          </w:p>
        </w:tc>
        <w:tc>
          <w:tcPr>
            <w:tcW w:type="dxa" w:w="1234"/>
          </w:tcPr>
          <w:p>
            <w:pPr>
              <w:jc w:val="center"/>
            </w:pPr>
            <w:r>
              <w:t>(15.235)</w:t>
            </w:r>
          </w:p>
        </w:tc>
      </w:tr>
      <w:tr>
        <w:tc>
          <w:tcPr>
            <w:tcW w:type="dxa" w:w="1234"/>
          </w:tcPr>
          <w:p>
            <w:r>
              <w:t>Post-SFA</w:t>
            </w:r>
          </w:p>
        </w:tc>
        <w:tc>
          <w:tcPr>
            <w:tcW w:type="dxa" w:w="1234"/>
          </w:tcPr>
          <w:p>
            <w:pPr>
              <w:jc w:val="center"/>
            </w:pPr>
            <w:r>
              <w:t>-0.817*</w:t>
            </w:r>
          </w:p>
        </w:tc>
        <w:tc>
          <w:tcPr>
            <w:tcW w:type="dxa" w:w="1234"/>
          </w:tcPr>
          <w:p>
            <w:pPr>
              <w:jc w:val="center"/>
            </w:pPr>
            <w:r>
              <w:t>(0.483)</w:t>
            </w:r>
          </w:p>
        </w:tc>
        <w:tc>
          <w:tcPr>
            <w:tcW w:type="dxa" w:w="1234"/>
          </w:tcPr>
          <w:p>
            <w:pPr>
              <w:jc w:val="center"/>
            </w:pPr>
            <w:r>
              <w:t>-0.434</w:t>
            </w:r>
          </w:p>
        </w:tc>
        <w:tc>
          <w:tcPr>
            <w:tcW w:type="dxa" w:w="1234"/>
          </w:tcPr>
          <w:p>
            <w:pPr>
              <w:jc w:val="center"/>
            </w:pPr>
            <w:r>
              <w:t>(0.397)</w:t>
            </w:r>
          </w:p>
        </w:tc>
        <w:tc>
          <w:tcPr>
            <w:tcW w:type="dxa" w:w="1234"/>
          </w:tcPr>
          <w:p>
            <w:pPr>
              <w:jc w:val="center"/>
            </w:pPr>
            <w:r>
              <w:t>0.660</w:t>
            </w:r>
          </w:p>
        </w:tc>
        <w:tc>
          <w:tcPr>
            <w:tcW w:type="dxa" w:w="1234"/>
          </w:tcPr>
          <w:p>
            <w:pPr>
              <w:jc w:val="center"/>
            </w:pPr>
            <w:r>
              <w:t>(0.455)</w:t>
            </w:r>
          </w:p>
        </w:tc>
      </w:tr>
      <w:tr>
        <w:tc>
          <w:tcPr>
            <w:tcW w:type="dxa" w:w="1234"/>
          </w:tcPr>
          <w:p>
            <w:r>
              <w:t>Danger index (D_i)</w:t>
            </w:r>
          </w:p>
        </w:tc>
        <w:tc>
          <w:tcPr>
            <w:tcW w:type="dxa" w:w="1234"/>
          </w:tcPr>
          <w:p>
            <w:pPr>
              <w:jc w:val="center"/>
            </w:pPr>
            <w:r>
              <w:t>-0.024</w:t>
            </w:r>
          </w:p>
        </w:tc>
        <w:tc>
          <w:tcPr>
            <w:tcW w:type="dxa" w:w="1234"/>
          </w:tcPr>
          <w:p>
            <w:pPr>
              <w:jc w:val="center"/>
            </w:pPr>
            <w:r>
              <w:t>(0.037)</w:t>
            </w:r>
          </w:p>
        </w:tc>
        <w:tc>
          <w:tcPr>
            <w:tcW w:type="dxa" w:w="1234"/>
          </w:tcPr>
          <w:p>
            <w:pPr>
              <w:jc w:val="center"/>
            </w:pPr>
            <w:r>
              <w:t>-0.011</w:t>
            </w:r>
          </w:p>
        </w:tc>
        <w:tc>
          <w:tcPr>
            <w:tcW w:type="dxa" w:w="1234"/>
          </w:tcPr>
          <w:p>
            <w:pPr>
              <w:jc w:val="center"/>
            </w:pPr>
            <w:r>
              <w:t>(0.035)</w:t>
            </w:r>
          </w:p>
        </w:tc>
        <w:tc>
          <w:tcPr>
            <w:tcW w:type="dxa" w:w="1234"/>
          </w:tcPr>
          <w:p>
            <w:pPr>
              <w:jc w:val="center"/>
            </w:pPr>
            <w:r>
              <w:t>-0.036</w:t>
            </w:r>
          </w:p>
        </w:tc>
        <w:tc>
          <w:tcPr>
            <w:tcW w:type="dxa" w:w="1234"/>
          </w:tcPr>
          <w:p>
            <w:pPr>
              <w:jc w:val="center"/>
            </w:pPr>
            <w:r>
              <w:t>(0.037)</w:t>
            </w:r>
          </w:p>
        </w:tc>
      </w:tr>
      <w:tr>
        <w:tc>
          <w:tcPr>
            <w:tcW w:type="dxa" w:w="1234"/>
          </w:tcPr>
          <w:p>
            <w:r>
              <w:rPr>
                <w:b/>
              </w:rPr>
              <w:t>Post-SFA × D_i</w:t>
            </w:r>
          </w:p>
        </w:tc>
        <w:tc>
          <w:tcPr>
            <w:tcW w:type="dxa" w:w="1234"/>
          </w:tcPr>
          <w:p>
            <w:pPr>
              <w:jc w:val="center"/>
            </w:pPr>
            <w:r>
              <w:rPr>
                <w:b/>
              </w:rPr>
              <w:t>0.073**</w:t>
            </w:r>
          </w:p>
        </w:tc>
        <w:tc>
          <w:tcPr>
            <w:tcW w:type="dxa" w:w="1234"/>
          </w:tcPr>
          <w:p>
            <w:pPr>
              <w:jc w:val="center"/>
            </w:pPr>
            <w:r>
              <w:rPr>
                <w:b/>
              </w:rPr>
              <w:t>(0.029)</w:t>
            </w:r>
          </w:p>
        </w:tc>
        <w:tc>
          <w:tcPr>
            <w:tcW w:type="dxa" w:w="1234"/>
          </w:tcPr>
          <w:p>
            <w:pPr>
              <w:jc w:val="center"/>
            </w:pPr>
            <w:r>
              <w:rPr>
                <w:b/>
              </w:rPr>
              <w:t>0.057*</w:t>
            </w:r>
          </w:p>
        </w:tc>
        <w:tc>
          <w:tcPr>
            <w:tcW w:type="dxa" w:w="1234"/>
          </w:tcPr>
          <w:p>
            <w:pPr>
              <w:jc w:val="center"/>
            </w:pPr>
            <w:r>
              <w:rPr>
                <w:b/>
              </w:rPr>
              <w:t>(0.030)</w:t>
            </w:r>
          </w:p>
        </w:tc>
        <w:tc>
          <w:tcPr>
            <w:tcW w:type="dxa" w:w="1234"/>
          </w:tcPr>
          <w:p>
            <w:pPr>
              <w:jc w:val="center"/>
            </w:pPr>
            <w:r>
              <w:rPr>
                <w:b/>
              </w:rPr>
              <w:t>0.063*</w:t>
            </w:r>
          </w:p>
        </w:tc>
        <w:tc>
          <w:tcPr>
            <w:tcW w:type="dxa" w:w="1234"/>
          </w:tcPr>
          <w:p>
            <w:pPr>
              <w:jc w:val="center"/>
            </w:pPr>
            <w:r>
              <w:rPr>
                <w:b/>
              </w:rPr>
              <w:t>(0.033)</w:t>
            </w:r>
          </w:p>
        </w:tc>
      </w:tr>
      <w:tr>
        <w:tc>
          <w:tcPr>
            <w:tcW w:type="dxa" w:w="1234"/>
          </w:tcPr>
          <w:p>
            <w:r>
              <w:t>Latitude</w:t>
            </w:r>
          </w:p>
        </w:tc>
        <w:tc>
          <w:tcPr>
            <w:tcW w:type="dxa" w:w="1234"/>
          </w:tcPr>
          <w:p>
            <w:pPr>
              <w:jc w:val="center"/>
            </w:pPr>
            <w:r>
              <w:t>-0.559***</w:t>
            </w:r>
          </w:p>
        </w:tc>
        <w:tc>
          <w:tcPr>
            <w:tcW w:type="dxa" w:w="1234"/>
          </w:tcPr>
          <w:p>
            <w:pPr>
              <w:jc w:val="center"/>
            </w:pPr>
            <w:r>
              <w:t>(0.166)</w:t>
            </w:r>
          </w:p>
        </w:tc>
        <w:tc>
          <w:tcPr>
            <w:tcW w:type="dxa" w:w="1234"/>
          </w:tcPr>
          <w:p>
            <w:pPr>
              <w:jc w:val="center"/>
            </w:pPr>
            <w:r>
              <w:t>-5.305***</w:t>
            </w:r>
          </w:p>
        </w:tc>
        <w:tc>
          <w:tcPr>
            <w:tcW w:type="dxa" w:w="1234"/>
          </w:tcPr>
          <w:p>
            <w:pPr>
              <w:jc w:val="center"/>
            </w:pPr>
            <w:r>
              <w:t>(1.037)</w:t>
            </w:r>
          </w:p>
        </w:tc>
        <w:tc>
          <w:tcPr>
            <w:tcW w:type="dxa" w:w="1234"/>
          </w:tcPr>
          <w:p>
            <w:pPr>
              <w:jc w:val="center"/>
            </w:pPr>
            <w:r>
              <w:t>-4.158***</w:t>
            </w:r>
          </w:p>
        </w:tc>
        <w:tc>
          <w:tcPr>
            <w:tcW w:type="dxa" w:w="1234"/>
          </w:tcPr>
          <w:p>
            <w:pPr>
              <w:jc w:val="center"/>
            </w:pPr>
            <w:r>
              <w:t>(1.529)</w:t>
            </w:r>
          </w:p>
        </w:tc>
      </w:tr>
      <w:tr>
        <w:tc>
          <w:tcPr>
            <w:tcW w:type="dxa" w:w="1234"/>
          </w:tcPr>
          <w:p>
            <w:r>
              <w:t>Longitude</w:t>
            </w:r>
          </w:p>
        </w:tc>
        <w:tc>
          <w:tcPr>
            <w:tcW w:type="dxa" w:w="1234"/>
          </w:tcPr>
          <w:p>
            <w:pPr>
              <w:jc w:val="center"/>
            </w:pPr>
            <w:r>
              <w:t>-0.111*</w:t>
            </w:r>
          </w:p>
        </w:tc>
        <w:tc>
          <w:tcPr>
            <w:tcW w:type="dxa" w:w="1234"/>
          </w:tcPr>
          <w:p>
            <w:pPr>
              <w:jc w:val="center"/>
            </w:pPr>
            <w:r>
              <w:t>(0.058)</w:t>
            </w:r>
          </w:p>
        </w:tc>
        <w:tc>
          <w:tcPr>
            <w:tcW w:type="dxa" w:w="1234"/>
          </w:tcPr>
          <w:p>
            <w:pPr>
              <w:jc w:val="center"/>
            </w:pPr>
            <w:r>
              <w:t>-1.348***</w:t>
            </w:r>
          </w:p>
        </w:tc>
        <w:tc>
          <w:tcPr>
            <w:tcW w:type="dxa" w:w="1234"/>
          </w:tcPr>
          <w:p>
            <w:pPr>
              <w:jc w:val="center"/>
            </w:pPr>
            <w:r>
              <w:t>(0.276)</w:t>
            </w:r>
          </w:p>
        </w:tc>
        <w:tc>
          <w:tcPr>
            <w:tcW w:type="dxa" w:w="1234"/>
          </w:tcPr>
          <w:p>
            <w:pPr>
              <w:jc w:val="center"/>
            </w:pPr>
            <w:r>
              <w:t>-1.310***</w:t>
            </w:r>
          </w:p>
        </w:tc>
        <w:tc>
          <w:tcPr>
            <w:tcW w:type="dxa" w:w="1234"/>
          </w:tcPr>
          <w:p>
            <w:pPr>
              <w:jc w:val="center"/>
            </w:pPr>
            <w:r>
              <w:t>(0.353)</w:t>
            </w:r>
          </w:p>
        </w:tc>
      </w:tr>
      <w:tr>
        <w:tc>
          <w:tcPr>
            <w:tcW w:type="dxa" w:w="1234"/>
          </w:tcPr>
          <w:p>
            <w:r>
              <w:t>Distance to fence (km)</w:t>
            </w:r>
          </w:p>
        </w:tc>
        <w:tc>
          <w:tcPr>
            <w:tcW w:type="dxa" w:w="1234"/>
          </w:tcPr>
          <w:p>
            <w:pPr>
              <w:jc w:val="center"/>
            </w:pPr>
            <w:r>
              <w:t>—</w:t>
            </w:r>
          </w:p>
        </w:tc>
        <w:tc>
          <w:tcPr>
            <w:tcW w:type="dxa" w:w="1234"/>
          </w:tcPr>
          <w:p>
            <w:pPr>
              <w:jc w:val="center"/>
            </w:pPr>
            <w:r/>
          </w:p>
        </w:tc>
        <w:tc>
          <w:tcPr>
            <w:tcW w:type="dxa" w:w="1234"/>
          </w:tcPr>
          <w:p>
            <w:pPr>
              <w:jc w:val="center"/>
            </w:pPr>
            <w:r>
              <w:t>0.049***</w:t>
            </w:r>
          </w:p>
        </w:tc>
        <w:tc>
          <w:tcPr>
            <w:tcW w:type="dxa" w:w="1234"/>
          </w:tcPr>
          <w:p>
            <w:pPr>
              <w:jc w:val="center"/>
            </w:pPr>
            <w:r>
              <w:t>(0.010)</w:t>
            </w:r>
          </w:p>
        </w:tc>
        <w:tc>
          <w:tcPr>
            <w:tcW w:type="dxa" w:w="1234"/>
          </w:tcPr>
          <w:p>
            <w:pPr>
              <w:jc w:val="center"/>
            </w:pPr>
            <w:r>
              <w:t>0.035**</w:t>
            </w:r>
          </w:p>
        </w:tc>
        <w:tc>
          <w:tcPr>
            <w:tcW w:type="dxa" w:w="1234"/>
          </w:tcPr>
          <w:p>
            <w:pPr>
              <w:jc w:val="center"/>
            </w:pPr>
            <w:r>
              <w:t>(0.014)</w:t>
            </w:r>
          </w:p>
        </w:tc>
      </w:tr>
      <w:tr>
        <w:tc>
          <w:tcPr>
            <w:tcW w:type="dxa" w:w="1234"/>
          </w:tcPr>
          <w:p>
            <w:r>
              <w:rPr>
                <w:b/>
              </w:rPr>
              <w:t>Post-SFA × Distance to fence</w:t>
            </w:r>
          </w:p>
        </w:tc>
        <w:tc>
          <w:tcPr>
            <w:tcW w:type="dxa" w:w="1234"/>
          </w:tcPr>
          <w:p>
            <w:pPr>
              <w:jc w:val="center"/>
            </w:pPr>
            <w:r>
              <w:rPr>
                <w:b/>
              </w:rPr>
              <w:t>—</w:t>
            </w:r>
          </w:p>
        </w:tc>
        <w:tc>
          <w:tcPr>
            <w:tcW w:type="dxa" w:w="1234"/>
          </w:tcPr>
          <w:p>
            <w:pPr>
              <w:jc w:val="center"/>
            </w:pPr>
            <w:r>
              <w:rPr>
                <w:b/>
              </w:rPr>
            </w:r>
          </w:p>
        </w:tc>
        <w:tc>
          <w:tcPr>
            <w:tcW w:type="dxa" w:w="1234"/>
          </w:tcPr>
          <w:p>
            <w:pPr>
              <w:jc w:val="center"/>
            </w:pPr>
            <w:r>
              <w:rPr>
                <w:b/>
              </w:rPr>
              <w:t>-0.023**</w:t>
            </w:r>
          </w:p>
        </w:tc>
        <w:tc>
          <w:tcPr>
            <w:tcW w:type="dxa" w:w="1234"/>
          </w:tcPr>
          <w:p>
            <w:pPr>
              <w:jc w:val="center"/>
            </w:pPr>
            <w:r>
              <w:rPr>
                <w:b/>
              </w:rPr>
              <w:t>(0.011)</w:t>
            </w:r>
          </w:p>
        </w:tc>
        <w:tc>
          <w:tcPr>
            <w:tcW w:type="dxa" w:w="1234"/>
          </w:tcPr>
          <w:p>
            <w:pPr>
              <w:jc w:val="center"/>
            </w:pPr>
            <w:r>
              <w:rPr>
                <w:b/>
              </w:rPr>
              <w:t>-0.026**</w:t>
            </w:r>
          </w:p>
        </w:tc>
        <w:tc>
          <w:tcPr>
            <w:tcW w:type="dxa" w:w="1234"/>
          </w:tcPr>
          <w:p>
            <w:pPr>
              <w:jc w:val="center"/>
            </w:pPr>
            <w:r>
              <w:rPr>
                <w:b/>
              </w:rPr>
              <w:t>(0.013)</w:t>
            </w:r>
          </w:p>
        </w:tc>
      </w:tr>
      <w:tr>
        <w:tc>
          <w:tcPr>
            <w:tcW w:type="dxa" w:w="1234"/>
          </w:tcPr>
          <w:p>
            <w:r>
              <w:t>Distance to gap (km)</w:t>
            </w:r>
          </w:p>
        </w:tc>
        <w:tc>
          <w:tcPr>
            <w:tcW w:type="dxa" w:w="1234"/>
          </w:tcPr>
          <w:p>
            <w:pPr>
              <w:jc w:val="center"/>
            </w:pPr>
            <w:r>
              <w:t>—</w:t>
            </w:r>
          </w:p>
        </w:tc>
        <w:tc>
          <w:tcPr>
            <w:tcW w:type="dxa" w:w="1234"/>
          </w:tcPr>
          <w:p>
            <w:pPr>
              <w:jc w:val="center"/>
            </w:pPr>
            <w:r/>
          </w:p>
        </w:tc>
        <w:tc>
          <w:tcPr>
            <w:tcW w:type="dxa" w:w="1234"/>
          </w:tcPr>
          <w:p>
            <w:pPr>
              <w:jc w:val="center"/>
            </w:pPr>
            <w:r>
              <w:t>0.000</w:t>
            </w:r>
          </w:p>
        </w:tc>
        <w:tc>
          <w:tcPr>
            <w:tcW w:type="dxa" w:w="1234"/>
          </w:tcPr>
          <w:p>
            <w:pPr>
              <w:jc w:val="center"/>
            </w:pPr>
            <w:r>
              <w:t>(0.011)</w:t>
            </w:r>
          </w:p>
        </w:tc>
        <w:tc>
          <w:tcPr>
            <w:tcW w:type="dxa" w:w="1234"/>
          </w:tcPr>
          <w:p>
            <w:pPr>
              <w:jc w:val="center"/>
            </w:pPr>
            <w:r>
              <w:t>0.004</w:t>
            </w:r>
          </w:p>
        </w:tc>
        <w:tc>
          <w:tcPr>
            <w:tcW w:type="dxa" w:w="1234"/>
          </w:tcPr>
          <w:p>
            <w:pPr>
              <w:jc w:val="center"/>
            </w:pPr>
            <w:r>
              <w:t>(0.011)</w:t>
            </w:r>
          </w:p>
        </w:tc>
      </w:tr>
      <w:tr>
        <w:tc>
          <w:tcPr>
            <w:tcW w:type="dxa" w:w="1234"/>
          </w:tcPr>
          <w:p>
            <w:r>
              <w:rPr>
                <w:b/>
              </w:rPr>
              <w:t>Post-SFA × Distance to gap</w:t>
            </w:r>
          </w:p>
        </w:tc>
        <w:tc>
          <w:tcPr>
            <w:tcW w:type="dxa" w:w="1234"/>
          </w:tcPr>
          <w:p>
            <w:pPr>
              <w:jc w:val="center"/>
            </w:pPr>
            <w:r>
              <w:rPr>
                <w:b/>
              </w:rPr>
              <w:t>—</w:t>
            </w:r>
          </w:p>
        </w:tc>
        <w:tc>
          <w:tcPr>
            <w:tcW w:type="dxa" w:w="1234"/>
          </w:tcPr>
          <w:p>
            <w:pPr>
              <w:jc w:val="center"/>
            </w:pPr>
            <w:r>
              <w:rPr>
                <w:b/>
              </w:rPr>
            </w:r>
          </w:p>
        </w:tc>
        <w:tc>
          <w:tcPr>
            <w:tcW w:type="dxa" w:w="1234"/>
          </w:tcPr>
          <w:p>
            <w:pPr>
              <w:jc w:val="center"/>
            </w:pPr>
            <w:r>
              <w:rPr>
                <w:b/>
              </w:rPr>
              <w:t>0.017</w:t>
            </w:r>
          </w:p>
        </w:tc>
        <w:tc>
          <w:tcPr>
            <w:tcW w:type="dxa" w:w="1234"/>
          </w:tcPr>
          <w:p>
            <w:pPr>
              <w:jc w:val="center"/>
            </w:pPr>
            <w:r>
              <w:rPr>
                <w:b/>
              </w:rPr>
              <w:t>(0.011)</w:t>
            </w:r>
          </w:p>
        </w:tc>
        <w:tc>
          <w:tcPr>
            <w:tcW w:type="dxa" w:w="1234"/>
          </w:tcPr>
          <w:p>
            <w:pPr>
              <w:jc w:val="center"/>
            </w:pPr>
            <w:r>
              <w:rPr>
                <w:b/>
              </w:rPr>
              <w:t>0.021</w:t>
            </w:r>
          </w:p>
        </w:tc>
        <w:tc>
          <w:tcPr>
            <w:tcW w:type="dxa" w:w="1234"/>
          </w:tcPr>
          <w:p>
            <w:pPr>
              <w:jc w:val="center"/>
            </w:pPr>
            <w:r>
              <w:rPr>
                <w:b/>
              </w:rPr>
              <w:t>(0.013)</w:t>
            </w:r>
          </w:p>
        </w:tc>
      </w:tr>
      <w:tr>
        <w:tc>
          <w:tcPr>
            <w:tcW w:type="dxa" w:w="1234"/>
          </w:tcPr>
          <w:p>
            <w:pPr>
              <w:jc w:val="left"/>
            </w:pPr>
            <w:r>
              <w:rPr>
                <w:i/>
              </w:rPr>
              <w:t>Observations</w:t>
            </w:r>
          </w:p>
        </w:tc>
        <w:tc>
          <w:tcPr>
            <w:tcW w:type="dxa" w:w="2468"/>
            <w:gridSpan w:val="2"/>
          </w:tcPr>
          <w:p>
            <w:pPr>
              <w:jc w:val="center"/>
            </w:pPr>
            <w:r>
              <w:rPr>
                <w:i/>
              </w:rPr>
              <w:t>2,140</w:t>
            </w:r>
          </w:p>
        </w:tc>
        <w:tc>
          <w:tcPr>
            <w:tcW w:type="dxa" w:w="2468"/>
            <w:gridSpan w:val="2"/>
          </w:tcPr>
          <w:p>
            <w:pPr>
              <w:jc w:val="center"/>
            </w:pPr>
            <w:r>
              <w:rPr>
                <w:i/>
              </w:rPr>
              <w:t>2,140</w:t>
            </w:r>
          </w:p>
        </w:tc>
        <w:tc>
          <w:tcPr>
            <w:tcW w:type="dxa" w:w="2468"/>
            <w:gridSpan w:val="2"/>
          </w:tcPr>
          <w:p>
            <w:pPr>
              <w:jc w:val="center"/>
            </w:pPr>
            <w:r>
              <w:rPr>
                <w:i/>
              </w:rPr>
              <w:t>2,140</w:t>
            </w:r>
          </w:p>
        </w:tc>
      </w:tr>
      <w:tr>
        <w:tc>
          <w:tcPr>
            <w:tcW w:type="dxa" w:w="1234"/>
          </w:tcPr>
          <w:p>
            <w:pPr>
              <w:jc w:val="left"/>
            </w:pPr>
            <w:r>
              <w:rPr>
                <w:i/>
              </w:rPr>
              <w:t>Log-likelihood</w:t>
            </w:r>
          </w:p>
        </w:tc>
        <w:tc>
          <w:tcPr>
            <w:tcW w:type="dxa" w:w="2468"/>
            <w:gridSpan w:val="2"/>
          </w:tcPr>
          <w:p>
            <w:pPr>
              <w:jc w:val="center"/>
            </w:pPr>
            <w:r>
              <w:rPr>
                <w:i/>
              </w:rPr>
              <w:t>−3,804</w:t>
            </w:r>
          </w:p>
        </w:tc>
        <w:tc>
          <w:tcPr>
            <w:tcW w:type="dxa" w:w="2468"/>
            <w:gridSpan w:val="2"/>
          </w:tcPr>
          <w:p>
            <w:pPr>
              <w:jc w:val="center"/>
            </w:pPr>
            <w:r>
              <w:rPr>
                <w:i/>
              </w:rPr>
              <w:t>−3,702</w:t>
            </w:r>
          </w:p>
        </w:tc>
        <w:tc>
          <w:tcPr>
            <w:tcW w:type="dxa" w:w="2468"/>
            <w:gridSpan w:val="2"/>
          </w:tcPr>
          <w:p>
            <w:pPr>
              <w:jc w:val="center"/>
            </w:pPr>
            <w:r>
              <w:rPr>
                <w:i/>
              </w:rPr>
              <w:t>−3,540</w:t>
            </w:r>
          </w:p>
        </w:tc>
      </w:tr>
      <w:tr>
        <w:tc>
          <w:tcPr>
            <w:tcW w:type="dxa" w:w="1234"/>
          </w:tcPr>
          <w:p>
            <w:pPr>
              <w:jc w:val="left"/>
            </w:pPr>
            <w:r>
              <w:rPr>
                <w:i/>
              </w:rPr>
              <w:t>AIC</w:t>
            </w:r>
          </w:p>
        </w:tc>
        <w:tc>
          <w:tcPr>
            <w:tcW w:type="dxa" w:w="2468"/>
            <w:gridSpan w:val="2"/>
          </w:tcPr>
          <w:p>
            <w:pPr>
              <w:jc w:val="center"/>
            </w:pPr>
            <w:r>
              <w:rPr>
                <w:i/>
              </w:rPr>
              <w:t>7,621</w:t>
            </w:r>
          </w:p>
        </w:tc>
        <w:tc>
          <w:tcPr>
            <w:tcW w:type="dxa" w:w="2468"/>
            <w:gridSpan w:val="2"/>
          </w:tcPr>
          <w:p>
            <w:pPr>
              <w:jc w:val="center"/>
            </w:pPr>
            <w:r>
              <w:rPr>
                <w:i/>
              </w:rPr>
              <w:t>7,417</w:t>
            </w:r>
          </w:p>
        </w:tc>
        <w:tc>
          <w:tcPr>
            <w:tcW w:type="dxa" w:w="2468"/>
            <w:gridSpan w:val="2"/>
          </w:tcPr>
          <w:p>
            <w:pPr>
              <w:jc w:val="center"/>
            </w:pPr>
            <w:r>
              <w:rPr>
                <w:i/>
              </w:rPr>
              <w:t>7,095</w:t>
            </w:r>
          </w:p>
        </w:tc>
      </w:tr>
      <w:tr>
        <w:tc>
          <w:tcPr>
            <w:tcW w:type="dxa" w:w="1234"/>
          </w:tcPr>
          <w:p>
            <w:pPr>
              <w:jc w:val="left"/>
            </w:pPr>
            <w:r>
              <w:rPr>
                <w:i/>
              </w:rPr>
              <w:t>Pseudo-R² (McFadden)</w:t>
            </w:r>
          </w:p>
        </w:tc>
        <w:tc>
          <w:tcPr>
            <w:tcW w:type="dxa" w:w="2468"/>
            <w:gridSpan w:val="2"/>
          </w:tcPr>
          <w:p>
            <w:pPr>
              <w:jc w:val="center"/>
            </w:pPr>
            <w:r>
              <w:rPr>
                <w:i/>
              </w:rPr>
              <w:t>0.112</w:t>
            </w:r>
          </w:p>
        </w:tc>
        <w:tc>
          <w:tcPr>
            <w:tcW w:type="dxa" w:w="2468"/>
            <w:gridSpan w:val="2"/>
          </w:tcPr>
          <w:p>
            <w:pPr>
              <w:jc w:val="center"/>
            </w:pPr>
            <w:r>
              <w:rPr>
                <w:i/>
              </w:rPr>
              <w:t>0.136</w:t>
            </w:r>
          </w:p>
        </w:tc>
        <w:tc>
          <w:tcPr>
            <w:tcW w:type="dxa" w:w="2468"/>
            <w:gridSpan w:val="2"/>
          </w:tcPr>
          <w:p>
            <w:pPr>
              <w:jc w:val="center"/>
            </w:pPr>
            <w:r>
              <w:rPr>
                <w:i/>
              </w:rPr>
              <w:t>0.238</w:t>
            </w:r>
          </w:p>
        </w:tc>
      </w:tr>
      <w:tr>
        <w:tc>
          <w:tcPr>
            <w:tcW w:type="dxa" w:w="1234"/>
          </w:tcPr>
          <w:p>
            <w:pPr>
              <w:jc w:val="left"/>
            </w:pPr>
            <w:r>
              <w:rPr>
                <w:i/>
              </w:rPr>
              <w:t>Sector offset</w:t>
            </w:r>
          </w:p>
        </w:tc>
        <w:tc>
          <w:tcPr>
            <w:tcW w:type="dxa" w:w="2468"/>
            <w:gridSpan w:val="2"/>
          </w:tcPr>
          <w:p>
            <w:pPr>
              <w:jc w:val="center"/>
            </w:pPr>
            <w:r>
              <w:rPr>
                <w:i/>
              </w:rPr>
              <w:t>No</w:t>
            </w:r>
          </w:p>
        </w:tc>
        <w:tc>
          <w:tcPr>
            <w:tcW w:type="dxa" w:w="2468"/>
            <w:gridSpan w:val="2"/>
          </w:tcPr>
          <w:p>
            <w:pPr>
              <w:jc w:val="center"/>
            </w:pPr>
            <w:r>
              <w:rPr>
                <w:i/>
              </w:rPr>
              <w:t>No</w:t>
            </w:r>
          </w:p>
        </w:tc>
        <w:tc>
          <w:tcPr>
            <w:tcW w:type="dxa" w:w="2468"/>
            <w:gridSpan w:val="2"/>
          </w:tcPr>
          <w:p>
            <w:pPr>
              <w:jc w:val="center"/>
            </w:pPr>
            <w:r>
              <w:rPr>
                <w:i/>
              </w:rPr>
              <w:t>Yes</w:t>
            </w:r>
          </w:p>
        </w:tc>
      </w:tr>
      <w:tr>
        <w:tc>
          <w:tcPr>
            <w:tcW w:type="dxa" w:w="1234"/>
          </w:tcPr>
          <w:p>
            <w:pPr>
              <w:jc w:val="left"/>
            </w:pPr>
            <w:r>
              <w:rPr>
                <w:i/>
              </w:rPr>
              <w:t>Conley SEs (50 km)</w:t>
            </w:r>
          </w:p>
        </w:tc>
        <w:tc>
          <w:tcPr>
            <w:tcW w:type="dxa" w:w="2468"/>
            <w:gridSpan w:val="2"/>
          </w:tcPr>
          <w:p>
            <w:pPr>
              <w:jc w:val="center"/>
            </w:pPr>
            <w:r>
              <w:rPr>
                <w:i/>
              </w:rPr>
              <w:t>Yes</w:t>
            </w:r>
          </w:p>
        </w:tc>
        <w:tc>
          <w:tcPr>
            <w:tcW w:type="dxa" w:w="2468"/>
            <w:gridSpan w:val="2"/>
          </w:tcPr>
          <w:p>
            <w:pPr>
              <w:jc w:val="center"/>
            </w:pPr>
            <w:r>
              <w:rPr>
                <w:i/>
              </w:rPr>
              <w:t>Yes</w:t>
            </w:r>
          </w:p>
        </w:tc>
        <w:tc>
          <w:tcPr>
            <w:tcW w:type="dxa" w:w="2468"/>
            <w:gridSpan w:val="2"/>
          </w:tcPr>
          <w:p>
            <w:pPr>
              <w:jc w:val="center"/>
            </w:pPr>
            <w:r>
              <w:rPr>
                <w:i/>
              </w:rPr>
              <w:t>Yes</w:t>
            </w:r>
          </w:p>
        </w:tc>
      </w:tr>
    </w:tbl>
    <w:p>
      <w:pPr>
        <w:spacing w:before="120" w:after="240"/>
      </w:pPr>
      <w:r>
        <w:t>Table 2 presents Poisson regression estimates of the funnel effect across three specifications. The key coefficient of interest is Post-SFA × D_i, which captures whether cells with higher danger index values experienced a larger increase in deaths after the SFA. This coefficient is positive and statistically significant in all three specifications: 0.073 (p = 0.012) in the baseline model, 0.057 (p = 0.058) after controlling for proximity to fence segments and fence gaps, and 0.063 (p = 0.053) when deaths are scaled by sector apprehensions to account for crossing volume. The robustness of this result across specifications — including when the offset absorbs variation in crossing intensity — suggests the funnel effect reflects a genuine increase in the lethality of crossings in high-danger terrain, not merely an increase in crossing volume. Regarding the fence and gap variables, Post-SFA × Distance to fence is negative and significant in specifications (2) and (3), indicating that cells closer to fence construction saw larger increases in deaths — consistent with the fence physically redirecting crossers into adjacent dangerous corridors. Post-SFA × Distance to gap is positive but falls short of conventional significance levels (p ≈ 0.11–0.12), suggesting that proximity to fence gaps may play a secondary role once terrain danger is accounted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