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Times New Roman" w:hAnsi="Times New Roman"/>
          <w:b/>
          <w:sz w:val="22"/>
        </w:rPr>
        <w:t xml:space="preserve">Table 1. </w:t>
      </w:r>
      <w:r>
        <w:rPr>
          <w:rFonts w:ascii="Times New Roman" w:hAnsi="Times New Roman"/>
          <w:i/>
          <w:sz w:val="22"/>
        </w:rPr>
        <w:t>Getis-Ord Gi* Hot-Spot Analysis Summary, by Period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2"/>
        <w:gridCol w:w="1472"/>
        <w:gridCol w:w="1472"/>
        <w:gridCol w:w="1472"/>
        <w:gridCol w:w="1472"/>
        <w:gridCol w:w="1472"/>
        <w:gridCol w:w="1472"/>
        <w:gridCol w:w="1472"/>
        <w:gridCol w:w="1472"/>
      </w:tblGrid>
      <w:tr>
        <w:tc>
          <w:tcPr>
            <w:tcW w:type="dxa" w:w="1584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Period</w:t>
            </w:r>
          </w:p>
        </w:tc>
        <w:tc>
          <w:tcPr>
            <w:tcW w:type="dxa" w:w="1152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 deaths</w:t>
            </w:r>
          </w:p>
        </w:tc>
        <w:tc>
          <w:tcPr>
            <w:tcW w:type="dxa" w:w="1152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 grid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sz w:val="21"/>
              </w:rPr>
              <w:t>cells</w:t>
            </w:r>
          </w:p>
        </w:tc>
        <w:tc>
          <w:tcPr>
            <w:tcW w:type="dxa" w:w="1440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Distance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sz w:val="21"/>
              </w:rPr>
              <w:t>band</w:t>
            </w:r>
          </w:p>
        </w:tc>
        <w:tc>
          <w:tcPr>
            <w:tcW w:type="dxa" w:w="1296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Avg.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sz w:val="21"/>
              </w:rPr>
              <w:t>neighbors</w:t>
            </w:r>
          </w:p>
        </w:tc>
        <w:tc>
          <w:tcPr>
            <w:tcW w:type="dxa" w:w="1296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99%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sz w:val="21"/>
              </w:rPr>
              <w:t>confidence</w:t>
            </w:r>
            <w:r>
              <w:rPr>
                <w:rFonts w:ascii="Times New Roman" w:hAnsi="Times New Roman"/>
                <w:sz w:val="21"/>
                <w:vertAlign w:val="superscript"/>
              </w:rPr>
              <w:t>a</w:t>
            </w:r>
          </w:p>
        </w:tc>
        <w:tc>
          <w:tcPr>
            <w:tcW w:type="dxa" w:w="1296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95%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sz w:val="21"/>
              </w:rPr>
              <w:t>confidence</w:t>
            </w:r>
          </w:p>
        </w:tc>
        <w:tc>
          <w:tcPr>
            <w:tcW w:type="dxa" w:w="1296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90%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sz w:val="21"/>
              </w:rPr>
              <w:t>confidence</w:t>
            </w:r>
          </w:p>
        </w:tc>
        <w:tc>
          <w:tcPr>
            <w:tcW w:type="dxa" w:w="1440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Not</w:t>
            </w:r>
            <w:r>
              <w:br/>
            </w:r>
            <w:r>
              <w:rPr>
                <w:rFonts w:ascii="Times New Roman" w:hAnsi="Times New Roman"/>
                <w:b/>
                <w:i w:val="0"/>
                <w:sz w:val="21"/>
              </w:rPr>
              <w:t>significant</w:t>
            </w:r>
          </w:p>
        </w:tc>
      </w:tr>
      <w:tr>
        <w:tc>
          <w:tcPr>
            <w:tcW w:type="dxa" w:w="15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Pre-SFA</w:t>
            </w:r>
            <w:r>
              <w:br/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(2000–2007)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1,215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604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0.098°</w:t>
            </w:r>
            <w:r>
              <w:br/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(~6.3 mi)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8.3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30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0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573</w:t>
            </w:r>
          </w:p>
        </w:tc>
      </w:tr>
      <w:tr>
        <w:tc>
          <w:tcPr>
            <w:tcW w:type="dxa" w:w="15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Post-SFA</w:t>
            </w:r>
            <w:r>
              <w:br/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(2008–2019)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1,826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814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0.098°</w:t>
            </w:r>
            <w:r>
              <w:br/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(~6.3 mi)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7.7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48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16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744</w:t>
            </w:r>
          </w:p>
        </w:tc>
      </w:tr>
      <w:tr>
        <w:tc>
          <w:tcPr>
            <w:tcW w:type="dxa" w:w="1584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All years</w:t>
            </w:r>
            <w:r>
              <w:br/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(2000–2019)</w:t>
            </w:r>
          </w:p>
        </w:tc>
        <w:tc>
          <w:tcPr>
            <w:tcW w:type="dxa" w:w="1152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3,041</w:t>
            </w:r>
          </w:p>
        </w:tc>
        <w:tc>
          <w:tcPr>
            <w:tcW w:type="dxa" w:w="1152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1,070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0.098°</w:t>
            </w:r>
            <w:r>
              <w:br/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(~6.3 mi)</w:t>
            </w:r>
          </w:p>
        </w:tc>
        <w:tc>
          <w:tcPr>
            <w:tcW w:type="dxa" w:w="1296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7.6</w:t>
            </w:r>
          </w:p>
        </w:tc>
        <w:tc>
          <w:tcPr>
            <w:tcW w:type="dxa" w:w="1296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62</w:t>
            </w:r>
          </w:p>
        </w:tc>
        <w:tc>
          <w:tcPr>
            <w:tcW w:type="dxa" w:w="1296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17</w:t>
            </w:r>
          </w:p>
        </w:tc>
        <w:tc>
          <w:tcPr>
            <w:tcW w:type="dxa" w:w="1296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19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972</w:t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N grid cells = populated grid cells (at least one recorded death) entering the Gi* calculation for that period; distance band = the fixed-distance spatial-weights radius, calibrated so each cell averages 8 neighbors (Esri's standard default heuristic). Cold-spot tiers (90%/95%/99% confidence of a statistically low cluster) are omitted: 0 grid cells reached any cold-spot tier in any period.</w:t>
      </w:r>
    </w:p>
    <w:p>
      <w:pPr>
        <w:spacing w:before="12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ᵃConfidence tiers reflect Benjamini-Hochberg false discovery rate correction at the 0.10/0.05/0.01 levels, applied across all populated cells within each period simultaneously (not per-cell uncorrected p-values).</w:t>
      </w:r>
    </w:p>
    <w:p>
      <w:pPr>
        <w:spacing w:after="80"/>
      </w:pPr>
    </w:p>
    <w:p>
      <w:pPr>
        <w:spacing w:before="280" w:after="120"/>
      </w:pPr>
      <w:r>
        <w:rPr>
          <w:rFonts w:ascii="Times New Roman" w:hAnsi="Times New Roman"/>
          <w:b/>
          <w:sz w:val="22"/>
        </w:rPr>
        <w:t xml:space="preserve">Table 2. </w:t>
      </w:r>
      <w:r>
        <w:rPr>
          <w:rFonts w:ascii="Times New Roman" w:hAnsi="Times New Roman"/>
          <w:i/>
          <w:sz w:val="22"/>
        </w:rPr>
        <w:t>Raster Grid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24"/>
        <w:gridCol w:w="6624"/>
      </w:tblGrid>
      <w:tr>
        <w:tc>
          <w:tcPr>
            <w:tcW w:type="dxa" w:w="3744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Property</w:t>
            </w:r>
          </w:p>
        </w:tc>
        <w:tc>
          <w:tcPr>
            <w:tcW w:type="dxa" w:w="4320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Value</w:t>
            </w:r>
          </w:p>
        </w:tc>
      </w:tr>
      <w:tr>
        <w:tc>
          <w:tcPr>
            <w:tcW w:type="dxa" w:w="37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Cell size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0.044° (~2.57 mi E–W × 3.04 mi N–S)</w:t>
            </w:r>
          </w:p>
        </w:tc>
      </w:tr>
      <w:tr>
        <w:tc>
          <w:tcPr>
            <w:tcW w:type="dxa" w:w="37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Study area extent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~361 mi (E–W) × 242 mi (N–S)</w:t>
            </w:r>
          </w:p>
        </w:tc>
      </w:tr>
      <w:tr>
        <w:tc>
          <w:tcPr>
            <w:tcW w:type="dxa" w:w="37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Full grid dimensions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80 rows × 141 columns = 11,280 cells</w:t>
            </w:r>
          </w:p>
        </w:tc>
      </w:tr>
      <w:tr>
        <w:tc>
          <w:tcPr>
            <w:tcW w:type="dxa" w:w="37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Valid cells, full study area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9,906</w:t>
            </w:r>
          </w:p>
        </w:tc>
      </w:tr>
      <w:tr>
        <w:tc>
          <w:tcPr>
            <w:tcW w:type="dxa" w:w="3744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Valid cells, within Arizona</w:t>
            </w:r>
            <w:r>
              <w:rPr>
                <w:rFonts w:ascii="Times New Roman" w:hAnsi="Times New Roman"/>
                <w:sz w:val="21"/>
                <w:vertAlign w:val="superscript"/>
              </w:rPr>
              <w:t>a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7,536</w:t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The hot-spot grid (Table 1) and the danger index grid use the identical cell size and coordinate origin, so a cell at a given grid position is the same location in both analyses and the two overlay exactly (Figure 8). Unlike the hot-spot grid, which includes only cells with at least one recorded death, the danger index grid covers every cell in the full study-area bounding box as a continuous environmental surface.</w:t>
      </w:r>
    </w:p>
    <w:p>
      <w:pPr>
        <w:spacing w:before="12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ᵃ"Valid" excludes cells with missing slope or NDVI source data (mostly outside Arizona, e.g. over Mexico); all cells within Arizona itself have complete data.</w:t>
      </w:r>
    </w:p>
    <w:sectPr w:rsidR="00FC693F" w:rsidRPr="0006063C" w:rsidSect="00034616">
      <w:pgSz w:w="15840" w:h="12240" w:orient="landscape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