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DA" w:rsidRDefault="008115A4">
      <w:pPr>
        <w:pStyle w:val="Title"/>
      </w:pPr>
      <w:r>
        <w:t>Test Report</w:t>
      </w:r>
    </w:p>
    <w:p w:rsidR="007A05DA" w:rsidRDefault="008115A4">
      <w:pPr>
        <w:pStyle w:val="Author"/>
      </w:pPr>
      <w:r>
        <w:t>Chris Guiterman</w:t>
      </w:r>
    </w:p>
    <w:p w:rsidR="007A05DA" w:rsidRDefault="008115A4">
      <w:pPr>
        <w:pStyle w:val="Date"/>
      </w:pPr>
      <w:r>
        <w:t>December 7, 2018</w:t>
      </w:r>
    </w:p>
    <w:p w:rsidR="007A05DA" w:rsidRDefault="008115A4">
      <w:pPr>
        <w:pStyle w:val="Heading1"/>
      </w:pPr>
      <w:bookmarkStart w:id="0" w:name="section-header"/>
      <w:bookmarkEnd w:id="0"/>
      <w:r>
        <w:t>Section header</w:t>
      </w:r>
    </w:p>
    <w:p w:rsidR="007A05DA" w:rsidRDefault="008115A4">
      <w:pPr>
        <w:pStyle w:val="FirstParagraph"/>
      </w:pPr>
      <w:r>
        <w:t>A warming climate means more drought in the Southwest. As trees experience greater water and heat stress, their resistance to insects and disease decline, and especially for older trees, that means a greater likelihood of dying. Drought and heat related factors have already begun to take effect, raising rates of forest mortality across the western US (van Mantgem et al. 2009; N. G. McDowell et al. 2016) and even globally (Allen et al. 2010). The patterns, causes, and consequences of tree mortality and large-scale die-off events have received substantial attention among researchers in recent years. As summarized by C. D. Allen, Breshears, and McDowell (2015), some key lessons have emerged:</w:t>
      </w:r>
    </w:p>
    <w:p w:rsidR="007A05DA" w:rsidRDefault="008115A4">
      <w:pPr>
        <w:pStyle w:val="BodyText"/>
      </w:pPr>
      <w:r>
        <w:t>It goes like this</w:t>
      </w:r>
    </w:p>
    <w:p w:rsidR="007A05DA" w:rsidRDefault="008115A4">
      <w:pPr>
        <w:pStyle w:val="Heading2"/>
      </w:pPr>
      <w:bookmarkStart w:id="1" w:name="question"/>
      <w:bookmarkEnd w:id="1"/>
      <w:r>
        <w:t>Question</w:t>
      </w:r>
    </w:p>
    <w:p w:rsidR="007A05DA" w:rsidRDefault="008115A4">
      <w:pPr>
        <w:pStyle w:val="FirstParagraph"/>
      </w:pPr>
      <w:r>
        <w:t>Another section</w:t>
      </w:r>
    </w:p>
    <w:p w:rsidR="007A05DA" w:rsidRDefault="008115A4">
      <w:pPr>
        <w:pStyle w:val="BodyText"/>
      </w:pPr>
      <w:r>
        <w:t>To answer the question. This will require a table.</w:t>
      </w:r>
    </w:p>
    <w:p w:rsidR="007A05DA" w:rsidRDefault="008115A4">
      <w:pPr>
        <w:pStyle w:val="SourceCode"/>
      </w:pPr>
      <w:r>
        <w:rPr>
          <w:rStyle w:val="VerbatimChar"/>
        </w:rPr>
        <w:t>## Warning: package 'bindrcpp' was built under R version 3.5.1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76"/>
        <w:gridCol w:w="643"/>
        <w:gridCol w:w="696"/>
      </w:tblGrid>
      <w:tr w:rsidR="007A05D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05DA" w:rsidRDefault="008115A4">
            <w:pPr>
              <w:pStyle w:val="Compact"/>
            </w:pPr>
            <w:r>
              <w:t>make_model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05DA" w:rsidRDefault="008115A4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05DA" w:rsidRDefault="008115A4">
            <w:pPr>
              <w:pStyle w:val="Compact"/>
              <w:jc w:val="right"/>
            </w:pPr>
            <w:r>
              <w:t>wt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2320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32.4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2200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:rsidR="007A05DA" w:rsidRDefault="008115A4" w:rsidP="00DC3422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1935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1615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1513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3150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24.4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3190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2140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33.9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1835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21.5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2465</w:t>
            </w:r>
          </w:p>
        </w:tc>
      </w:tr>
      <w:tr w:rsidR="007A05DA">
        <w:tc>
          <w:tcPr>
            <w:tcW w:w="0" w:type="auto"/>
          </w:tcPr>
          <w:p w:rsidR="007A05DA" w:rsidRDefault="008115A4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7A05DA" w:rsidRDefault="008115A4">
            <w:pPr>
              <w:pStyle w:val="Compact"/>
              <w:jc w:val="right"/>
            </w:pPr>
            <w:r>
              <w:t>2780</w:t>
            </w:r>
          </w:p>
        </w:tc>
      </w:tr>
    </w:tbl>
    <w:p w:rsidR="007A05DA" w:rsidRDefault="008115A4">
      <w:pPr>
        <w:pStyle w:val="BodyText"/>
      </w:pPr>
      <w:r>
        <w:t xml:space="preserve">Navajo forests have been measured across a network of Continuous Forest Inventory (CFI) plots since ~1974. The number of plots in each inventory has varied as plots have added and some have been removed. The year of each inventory depends on a range of factors, with most plots </w:t>
      </w:r>
      <w:r>
        <w:lastRenderedPageBreak/>
        <w:t>having been re-visited and re-measured three times up to 2004. The complete CFI plot network includes 272 plots, each with three ¼-acre subplots. Each tree ≥5 inches diameter at breast height (DBH, 4.5 feet above ground) is measured and permanently marked, so we can track individual trees through time. In 2015, we conducted a sub-sample of 35 CFI plots as part of a project to core trees along a climate gradient (see section XX and Guiterman 2016). As part of our tree-coring protocol, we measured all previously tallied trees on all subplots but did not record new in-growth trees meeting the minimum DBH requirement (5.0 in).</w:t>
      </w:r>
    </w:p>
    <w:p w:rsidR="007A05DA" w:rsidRDefault="008115A4">
      <w:pPr>
        <w:pStyle w:val="BodyText"/>
      </w:pPr>
      <w:r>
        <w:t>But I need a figure!</w:t>
      </w:r>
    </w:p>
    <w:p w:rsidR="007A05DA" w:rsidRPr="00DC3422" w:rsidRDefault="008115A4" w:rsidP="00DC3422">
      <w:pPr>
        <w:pStyle w:val="Heading3"/>
      </w:pPr>
      <w:bookmarkStart w:id="2" w:name="third-level"/>
      <w:bookmarkStart w:id="3" w:name="_GoBack"/>
      <w:bookmarkEnd w:id="2"/>
      <w:r w:rsidRPr="00DC3422">
        <w:t>Third-level?</w:t>
      </w:r>
    </w:p>
    <w:bookmarkEnd w:id="3"/>
    <w:p w:rsidR="007A05DA" w:rsidRPr="00CB5BA8" w:rsidRDefault="008115A4" w:rsidP="00CB5BA8">
      <w:pPr>
        <w:pStyle w:val="Bibliography"/>
      </w:pPr>
      <w:r w:rsidRPr="00CB5BA8">
        <w:t>Allen, Craig D, David D Breshears, and Nate G. McDowell. 2015. “On underestimation of global vulnerability to tree mortality and forest die-off from hotter drought in the Anthropocene.” Ecosphere 6 (8): art129. doi:</w:t>
      </w:r>
      <w:hyperlink r:id="rId7">
        <w:r w:rsidRPr="00CB5BA8">
          <w:rPr>
            <w:rStyle w:val="Hyperlink"/>
            <w:color w:val="auto"/>
          </w:rPr>
          <w:t>10.1890/ES15-00203.1</w:t>
        </w:r>
      </w:hyperlink>
      <w:r w:rsidRPr="00CB5BA8">
        <w:t>.</w:t>
      </w:r>
    </w:p>
    <w:p w:rsidR="007A05DA" w:rsidRDefault="008115A4" w:rsidP="00CB5BA8">
      <w:pPr>
        <w:pStyle w:val="Bibliography"/>
      </w:pPr>
      <w:r>
        <w:t xml:space="preserve">Allen, Craig D., Alison K. Macalady, Haroun Chenchouni, Dominique Bachelet, Nate McDowell, Michel Vennetier, Thomas Kitzberger, et al. 2010. “A global overview of drought and heat-induced tree mortality reveals emerging climate change risks for forests.” </w:t>
      </w:r>
      <w:r>
        <w:rPr>
          <w:i/>
        </w:rPr>
        <w:t>Forest Ecology and Management</w:t>
      </w:r>
      <w:r>
        <w:t xml:space="preserve"> 259 (4): 660–84. doi:</w:t>
      </w:r>
      <w:hyperlink r:id="rId8">
        <w:r>
          <w:rPr>
            <w:rStyle w:val="Hyperlink"/>
          </w:rPr>
          <w:t>10.1016/j.foreco.2009.09.001</w:t>
        </w:r>
      </w:hyperlink>
      <w:r>
        <w:t>.</w:t>
      </w:r>
    </w:p>
    <w:p w:rsidR="007A05DA" w:rsidRDefault="008115A4" w:rsidP="00CB5BA8">
      <w:pPr>
        <w:pStyle w:val="Bibliography"/>
      </w:pPr>
      <w:r>
        <w:t>Guiterman, Christopher H. 2016. “Climate and human drivers of forest vulnerability in the US Southwest: Perspectives from dendroecology.” Doctoral dissertation, University of Arizona.</w:t>
      </w:r>
    </w:p>
    <w:p w:rsidR="007A05DA" w:rsidRDefault="008115A4" w:rsidP="00CB5BA8">
      <w:pPr>
        <w:pStyle w:val="Bibliography"/>
      </w:pPr>
      <w:r>
        <w:t xml:space="preserve">McDowell, Nate G., A. Park Williams, Chonggang Xu, William T. Pockman, Lee T. Dickman, Sanna Sevanto, Robert E. Pangle, et al. 2016. “Multi-scale predictions of massive conifer mortality due to chronic temperature rise.” </w:t>
      </w:r>
      <w:r>
        <w:rPr>
          <w:i/>
        </w:rPr>
        <w:t>Nature Climate Change</w:t>
      </w:r>
      <w:r>
        <w:t xml:space="preserve"> 6: 295–300. doi:</w:t>
      </w:r>
      <w:hyperlink r:id="rId9">
        <w:r>
          <w:rPr>
            <w:rStyle w:val="Hyperlink"/>
          </w:rPr>
          <w:t>10.1038/nclimate2873</w:t>
        </w:r>
      </w:hyperlink>
      <w:r>
        <w:t>.</w:t>
      </w:r>
    </w:p>
    <w:p w:rsidR="007A05DA" w:rsidRDefault="008115A4" w:rsidP="00CB5BA8">
      <w:pPr>
        <w:pStyle w:val="Bibliography"/>
      </w:pPr>
      <w:r>
        <w:t xml:space="preserve">van Mantgem, Phillip J, Nathan L Stephenson, John C Byrne, Lori D Daniels, Jerry F Franklin, Peter Z Fulé, Mark E Harmon, et al. 2009. “Widespread increase of tree mortality rates in the western United States.” </w:t>
      </w:r>
      <w:r>
        <w:rPr>
          <w:i/>
        </w:rPr>
        <w:t>Science (New York, N.Y.)</w:t>
      </w:r>
      <w:r>
        <w:t xml:space="preserve"> 323 (5913): 521–24. doi:</w:t>
      </w:r>
      <w:hyperlink r:id="rId10">
        <w:r>
          <w:rPr>
            <w:rStyle w:val="Hyperlink"/>
          </w:rPr>
          <w:t>10.1126/science.1165000</w:t>
        </w:r>
      </w:hyperlink>
      <w:r>
        <w:t>.</w:t>
      </w:r>
    </w:p>
    <w:sectPr w:rsidR="007A05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734" w:rsidRDefault="00446734">
      <w:pPr>
        <w:spacing w:after="0"/>
      </w:pPr>
      <w:r>
        <w:separator/>
      </w:r>
    </w:p>
  </w:endnote>
  <w:endnote w:type="continuationSeparator" w:id="0">
    <w:p w:rsidR="00446734" w:rsidRDefault="00446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734" w:rsidRDefault="00446734">
      <w:r>
        <w:separator/>
      </w:r>
    </w:p>
  </w:footnote>
  <w:footnote w:type="continuationSeparator" w:id="0">
    <w:p w:rsidR="00446734" w:rsidRDefault="0044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D60D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FD2C5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D7227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ADC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212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9C48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F44B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6ECA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3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2AD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2B22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2571EDA"/>
    <w:multiLevelType w:val="multilevel"/>
    <w:tmpl w:val="6F86D7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85E20"/>
    <w:multiLevelType w:val="multilevel"/>
    <w:tmpl w:val="89561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6734"/>
    <w:rsid w:val="004E29B3"/>
    <w:rsid w:val="00590D07"/>
    <w:rsid w:val="00784D58"/>
    <w:rsid w:val="007A05DA"/>
    <w:rsid w:val="008115A4"/>
    <w:rsid w:val="008D6863"/>
    <w:rsid w:val="00B86B75"/>
    <w:rsid w:val="00BC48D5"/>
    <w:rsid w:val="00C36279"/>
    <w:rsid w:val="00CB5BA8"/>
    <w:rsid w:val="00DC34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CA146-1C6E-4AE4-B973-D30D4FAA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7B6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732E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C342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32E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732E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447C6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Cs/>
      <w:i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B5BA8"/>
    <w:pPr>
      <w:ind w:left="720" w:hanging="720"/>
    </w:pPr>
    <w:rPr>
      <w:rFonts w:ascii="Times New Roman" w:hAnsi="Times New Roman" w:cs="Times New Roman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732E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foreco.2009.09.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890/ES15-00203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126/science.116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nclimate2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Chris Guiterman</dc:creator>
  <cp:lastModifiedBy>Chris Guiterman</cp:lastModifiedBy>
  <cp:revision>3</cp:revision>
  <dcterms:created xsi:type="dcterms:W3CDTF">2018-12-07T18:47:00Z</dcterms:created>
  <dcterms:modified xsi:type="dcterms:W3CDTF">2018-12-08T02:09:00Z</dcterms:modified>
</cp:coreProperties>
</file>