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Lab 3: Component Modelling &amp; Architectural Pattern Selection</w:t>
      </w:r>
    </w:p>
    <w:p>
      <w:pPr>
        <w:spacing w:after="160"/>
        <w:jc w:val="center"/>
      </w:pPr>
      <w:r>
        <w:rPr>
          <w:i/>
          <w:iCs/>
          <w:color w:val="444444"/>
          <w:sz w:val="22"/>
          <w:szCs w:val="22"/>
        </w:rPr>
        <w:t xml:space="preserve">Architectural Justification — Alumni Mentorship &amp; Mock Interview Platform (Problem Statement #06)</w:t>
      </w:r>
    </w:p>
    <w:p>
      <w:pPr>
        <w:pBdr>
          <w:bottom w:val="single" w:color="999999" w:sz="6" w:space="4"/>
        </w:pBdr>
        <w:spacing w:after="220"/>
        <w:jc w:val="center"/>
      </w:pPr>
      <w:r>
        <w:rPr>
          <w:color w:val="555555"/>
          <w:sz w:val="19"/>
          <w:szCs w:val="19"/>
        </w:rPr>
        <w:t xml:space="preserve">Chhavi S Wadhwa   |   SRN: PES1UG24CS132   |   Section: C   |   Project Key: AMF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Architecture Selection:  </w:t>
      </w:r>
      <w:r>
        <w:rPr>
          <w:sz w:val="22"/>
          <w:szCs w:val="22"/>
        </w:rPr>
        <w:t xml:space="preserve">We chose the Layered (N-Tier) Architecture for the Alumni Mentorship &amp; Mock Interview Platform System.</w:t>
      </w:r>
    </w:p>
    <w:p>
      <w:pPr>
        <w:spacing w:after="100"/>
      </w:pPr>
      <w:r>
        <w:rPr>
          <w:sz w:val="21"/>
          <w:szCs w:val="21"/>
        </w:rPr>
        <w:t xml:space="preserve">The system is organised into three layers — a Presentation Layer (User Interface Component), a Business/Application Layer (Auth &amp; Profile Manager, Mentor Matching &amp; Booking Manager, Notification &amp; Meeting Link Service, Scorecard Manager), and a Data Layer (Database Component), with the Notification service depending on an external Video-Conferencing API. This mirrors the accompanying UML Component Diagram.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Reason 1 — Separation of concerns aligned to the backlog</w:t>
      </w:r>
    </w:p>
    <w:p>
      <w:pPr>
        <w:spacing w:after="120"/>
      </w:pPr>
      <w:r>
        <w:rPr>
          <w:sz w:val="21"/>
          <w:szCs w:val="21"/>
        </w:rPr>
        <w:t xml:space="preserve">The Lab 2 backlog splits the product into three independent epics — Authentication (Epic 1), Mentor Discovery &amp; Booking (Epic 2), and Session Management &amp; Evaluation (Epic 3). A layered architecture lets each epic map to its own Business-layer component (Auth &amp; Profile Manager, Mentor Matching &amp; Booking Manager, Scorecard Manager) that sits behind a common Presentation layer and above a shared Data layer. Teams can therefore develop and sprint on one epic's component without touching the UI or database code owned by another, which is exactly the isolation the sprint-based delivery model (18 story points/week velocity, Lab 2) depends 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Reason 2 — Centralised consistency for booking logic</w:t>
      </w:r>
    </w:p>
    <w:p>
      <w:pPr>
        <w:spacing w:after="120"/>
      </w:pPr>
      <w:r>
        <w:rPr>
          <w:sz w:val="21"/>
          <w:szCs w:val="21"/>
        </w:rPr>
        <w:t xml:space="preserve">Double-booking prevention (FR-001, FR-002, and Alternate Flow 5a of UC-03) requires every calendar read/write to be checked against one authoritative source of truth. A layered design funnels all such operations through a single Business-layer component (Mentor Matching &amp; Booking Manager) to a single Data-layer component (Database), avoiding the eventual-consistency and distributed-transaction problems a microservices split would introduce for this concurrency-sensitive operation, at a scale (a single campus platform) that does not need independent service scaling.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Security Advantage</w:t>
      </w:r>
    </w:p>
    <w:p>
      <w:pPr>
        <w:spacing w:after="120"/>
      </w:pPr>
      <w:r>
        <w:rPr>
          <w:sz w:val="21"/>
          <w:szCs w:val="21"/>
        </w:rPr>
        <w:t xml:space="preserve">NFR-001 requires profile data and scorecards to follow privacy guidelines and support soft-deletion within 24 hours. In the layered design, the Presentation layer has no direct interface to the Database Component — every access to persisted data must pass through a Business-layer component's required interface first. This forces authentication, authorisation, input validation, and soft-deletion logic to be enforced in one place instead of being duplicated (or accidentally skipped) in the UI, shrinking the attack surface for unauthorised data access.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Performance Benefit</w:t>
      </w:r>
    </w:p>
    <w:p>
      <w:pPr>
        <w:spacing w:after="60"/>
      </w:pPr>
      <w:r>
        <w:rPr>
          <w:sz w:val="21"/>
          <w:szCs w:val="21"/>
        </w:rPr>
        <w:t xml:space="preserve">NFR-002 requires the mentor-matching endpoint to respond within 3 seconds for 95% of requests at up to 500 concurrent users. Because the layered architecture keeps the Presentation → Business → Data call path within tightly-coupled, in-process/same-deployment calls rather than routing through independently deployed services over a network, it removes the inter-service network hops and serialization overhead that a microservices architecture would add, making the 3-second SLA easier to meet without extra infrastructure such as a service mesh or distributed tracing.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2026-09-13T10:31:20.854Z</dcterms:created>
  <dcterms:modified xsi:type="dcterms:W3CDTF">2026-09-13T10:31:20.869Z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