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CRM Sales Opportunities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🧠 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CRM Sales Opportunities Analysis</w:t>
      </w:r>
      <w:r w:rsidDel="00000000" w:rsidR="00000000" w:rsidRPr="00000000">
        <w:rPr>
          <w:rtl w:val="0"/>
        </w:rPr>
        <w:t xml:space="preserve"> project evaluates sales pipeline performance to identify key drivers of revenue, conversion efficiency, product performance, and customer segmentation.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transform raw CRM data into actionable business insights that improve sales strategy and decision-making.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🎯 2. Objective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overall sales performance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top-performing sales agents and products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customer and regional contribution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pipeline bottlenecks and drop-off points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data-driven business recommendations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📈 3. Executive KPIs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Opportunities:</w:t>
      </w:r>
      <w:r w:rsidDel="00000000" w:rsidR="00000000" w:rsidRPr="00000000">
        <w:rPr>
          <w:rtl w:val="0"/>
        </w:rPr>
        <w:t xml:space="preserve"> 8,800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$10,005,534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 Deals:</w:t>
      </w:r>
      <w:r w:rsidDel="00000000" w:rsidR="00000000" w:rsidRPr="00000000">
        <w:rPr>
          <w:rtl w:val="0"/>
        </w:rPr>
        <w:t xml:space="preserve"> 4,238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 Deals:</w:t>
      </w:r>
      <w:r w:rsidDel="00000000" w:rsidR="00000000" w:rsidRPr="00000000">
        <w:rPr>
          <w:rtl w:val="0"/>
        </w:rPr>
        <w:t xml:space="preserve"> 2,473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Rate:</w:t>
      </w:r>
      <w:r w:rsidDel="00000000" w:rsidR="00000000" w:rsidRPr="00000000">
        <w:rPr>
          <w:rtl w:val="0"/>
        </w:rPr>
        <w:t xml:space="preserve"> 63.15%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Deal Size:</w:t>
      </w:r>
      <w:r w:rsidDel="00000000" w:rsidR="00000000" w:rsidRPr="00000000">
        <w:rPr>
          <w:rtl w:val="0"/>
        </w:rPr>
        <w:t xml:space="preserve"> $2,360.91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Sales Cycle:</w:t>
      </w:r>
      <w:r w:rsidDel="00000000" w:rsidR="00000000" w:rsidRPr="00000000">
        <w:rPr>
          <w:rtl w:val="0"/>
        </w:rPr>
        <w:t xml:space="preserve"> 51.78 days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Insight: </w:t>
      </w:r>
      <w:r w:rsidDel="00000000" w:rsidR="00000000" w:rsidRPr="00000000">
        <w:rPr>
          <w:rtl w:val="0"/>
        </w:rPr>
        <w:t xml:space="preserve">The business shows strong sales performance with a healthy win rate above 60% and stable deal size, indicating efficient conversion of opportunities into revenue.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🧑‍💼 4. Sales Team Insights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Top Sales Agent:</w:t>
      </w:r>
      <w:r w:rsidDel="00000000" w:rsidR="00000000" w:rsidRPr="00000000">
        <w:rPr>
          <w:rtl w:val="0"/>
        </w:rPr>
        <w:t xml:space="preserve"> Darcel Schlecht — $1,153,214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Highest Win Rate Agent:</w:t>
      </w:r>
      <w:r w:rsidDel="00000000" w:rsidR="00000000" w:rsidRPr="00000000">
        <w:rPr>
          <w:rtl w:val="0"/>
        </w:rPr>
        <w:t xml:space="preserve"> Hayden Neloms — 70.39%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👔 </w:t>
      </w:r>
      <w:r w:rsidDel="00000000" w:rsidR="00000000" w:rsidRPr="00000000">
        <w:rPr>
          <w:b w:val="1"/>
          <w:bCs w:val="1"/>
          <w:rtl w:val="0"/>
        </w:rPr>
        <w:t xml:space="preserve">Top Manager:</w:t>
      </w:r>
      <w:r w:rsidDel="00000000" w:rsidR="00000000" w:rsidRPr="00000000">
        <w:rPr>
          <w:rtl w:val="0"/>
        </w:rPr>
        <w:t xml:space="preserve"> Melvin Marxen — $2,251,930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Revenue is concentrated among top performers, while efficiency varies across the team.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📦 5. Product Insights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Top Product:</w:t>
      </w:r>
      <w:r w:rsidDel="00000000" w:rsidR="00000000" w:rsidRPr="00000000">
        <w:rPr>
          <w:rtl w:val="0"/>
        </w:rPr>
        <w:t xml:space="preserve"> GTX Pro — $3,510,578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Top Product Series:</w:t>
      </w:r>
      <w:r w:rsidDel="00000000" w:rsidR="00000000" w:rsidRPr="00000000">
        <w:rPr>
          <w:rtl w:val="0"/>
        </w:rPr>
        <w:t xml:space="preserve"> GTX Series — $7,344,767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The GTX product line is the primary revenue driver, indicating strong product-market fit.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👥 6. Customer Insights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🏢 </w:t>
      </w:r>
      <w:r w:rsidDel="00000000" w:rsidR="00000000" w:rsidRPr="00000000">
        <w:rPr>
          <w:b w:val="1"/>
          <w:bCs w:val="1"/>
          <w:rtl w:val="0"/>
        </w:rPr>
        <w:t xml:space="preserve">Top Sector:</w:t>
      </w:r>
      <w:r w:rsidDel="00000000" w:rsidR="00000000" w:rsidRPr="00000000">
        <w:rPr>
          <w:rtl w:val="0"/>
        </w:rPr>
        <w:t xml:space="preserve"> Retail — $1,867,528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Highest Avg Deal Sector:</w:t>
      </w:r>
      <w:r w:rsidDel="00000000" w:rsidR="00000000" w:rsidRPr="00000000">
        <w:rPr>
          <w:rtl w:val="0"/>
        </w:rPr>
        <w:t xml:space="preserve"> Entertainment (~$2,650)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Largest Customer Account:</w:t>
      </w:r>
      <w:r w:rsidDel="00000000" w:rsidR="00000000" w:rsidRPr="00000000">
        <w:rPr>
          <w:rtl w:val="0"/>
        </w:rPr>
        <w:t xml:space="preserve"> Kan-code — $341,455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Retail dominates in volume, while Entertainment drives higher-value deals.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🌍 7. Regional Insights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Best Region:</w:t>
      </w:r>
      <w:r w:rsidDel="00000000" w:rsidR="00000000" w:rsidRPr="00000000">
        <w:rPr>
          <w:rtl w:val="0"/>
        </w:rPr>
        <w:t xml:space="preserve"> West Region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Revenue: $3,568,647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Rate: 63.94%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West region shows both high revenue and high efficiency, making it the strongest territory.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📉 8. Pipeline Funnel Insights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Major Drop-off Stage: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Engaging → Lost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Early-stage qualification is the weakest part of the funnel, leading to significant deal leakage.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📊 9. Trend Insights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win rate (~63%)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deal size: ~$2.3K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sales cycle: ~52 days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pipeline performance across segments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📌 Insight: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business demonstrates consistent sales efficiency, with no indication of severe funnel degradation.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💡 10. Business Recommendations</w:t>
      </w:r>
    </w:p>
    <w:p w:rsidR="00000000" w:rsidDel="00000000" w:rsidP="00000000" w:rsidRDefault="00000000" w:rsidRPr="00000000" w14:paraId="000000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Improve Early-Stage Qualification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losses at Engaging stage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lead filtering and qualification criteria</w:t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Scale GTX Product Strategy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GTX series drives majority revenue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marketing + sales focus on GTX</w:t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Replicate Top Performer Behavior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Darcel Schlecht’s sales strategy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best practices across team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Expand Retail Segment Focus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is highest revenue sector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targeted campaigns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Optimize Regional Strategy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weaker regions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 West region strategies elsewhere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🧾 11. Final Insight Summary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4355"/>
        <w:tblGridChange w:id="0">
          <w:tblGrid>
            <w:gridCol w:w="132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$10M+ total 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concentration of top performers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GTX series dominates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Retail is top revenue sector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West is strongest region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Early-stage drop-off is key issue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63% win rate indicates strong performance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🏁 Final Conclusion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CRM Sales Opportunities Analysis</w:t>
      </w:r>
      <w:r w:rsidDel="00000000" w:rsidR="00000000" w:rsidRPr="00000000">
        <w:rPr>
          <w:rtl w:val="0"/>
        </w:rPr>
        <w:t xml:space="preserve"> reveals a strong revenue-generating system driven by GTX products and the Retail sector. While overall sales performance is strong, improving early-stage lead qualification presents the greatest opportunity for revenue growth and efficiency improvement.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