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Master Service Agreement</w:t>
      </w:r>
    </w:p>
    <w:p>
      <w:r>
        <w:t>1. DATA LOCALISATION: The Vendor reserves the right to transfer, store, and process all Indian user data outside of India, including in jurisdictions without adequate data protection laws, without prior notice.</w:t>
      </w:r>
    </w:p>
    <w:p>
      <w:r>
        <w:t>2. LIABILITY AND INDEMNITY: The Vendor shall hold zero liability for any data breaches. The Client must fully indemnify the Vendor against any third-party claims arising from security failures.</w:t>
      </w:r>
    </w:p>
    <w:p>
      <w:r>
        <w:t>3. DATA RETENTION: The Vendor will retain user biometric data perpetually to improve AI models, even after user account deletion.</w:t>
      </w:r>
    </w:p>
    <w:p>
      <w:r>
        <w:t>4. SUB-PROCESSORS: The Vendor may engage any third-party sub-processors without seeking consent from the Client or the data principal.</w:t>
      </w:r>
    </w:p>
    <w:p>
      <w:r>
        <w:t>5. GOVERNING LAW: This agreement is governed by the laws of the Cayman Islands.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