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8"/>
          <w:szCs w:val="28"/>
          <w:rtl w:val="0"/>
        </w:rPr>
        <w:t xml:space="preserve">DH Seed Funding Grant Application</w:t>
      </w:r>
      <w:r w:rsidDel="00000000" w:rsidR="00000000" w:rsidRPr="00000000">
        <w:rPr>
          <w:rFonts w:ascii="Garamond" w:cs="Garamond" w:eastAsia="Garamond" w:hAnsi="Garamond"/>
          <w:b w:val="1"/>
          <w:bCs w:val="1"/>
          <w:sz w:val="24"/>
          <w:szCs w:val="24"/>
          <w:rtl w:val="0"/>
        </w:rPr>
        <w:t xml:space="preserve"> </w:t>
      </w:r>
      <w:r w:rsidDel="00000000" w:rsidR="00000000" w:rsidRPr="00000000">
        <w:rPr>
          <w:rFonts w:ascii="Garamond" w:cs="Garamond" w:eastAsia="Garamond" w:hAnsi="Garamond"/>
          <w:b w:val="1"/>
          <w:bCs w:val="1"/>
          <w:sz w:val="28"/>
          <w:szCs w:val="28"/>
          <w:rtl w:val="0"/>
        </w:rPr>
        <w:t xml:space="preserve">2024</w:t>
      </w:r>
      <w:r w:rsidDel="00000000" w:rsidR="00000000" w:rsidRPr="00000000">
        <w:rPr>
          <w:rtl w:val="0"/>
        </w:rPr>
      </w:r>
    </w:p>
    <w:p w:rsidR="00000000" w:rsidDel="00000000" w:rsidP="00000000" w:rsidRDefault="00000000" w:rsidRPr="00000000" w14:paraId="00000002">
      <w:pPr>
        <w:spacing w:after="200" w:lineRule="auto"/>
        <w:jc w:val="center"/>
        <w:rPr>
          <w:rFonts w:ascii="Garamond" w:cs="Garamond" w:eastAsia="Garamond" w:hAnsi="Garamond"/>
          <w:sz w:val="24"/>
          <w:szCs w:val="24"/>
        </w:rPr>
      </w:pPr>
      <w:r w:rsidDel="00000000" w:rsidR="00000000" w:rsidRPr="00000000">
        <w:rPr>
          <w:rFonts w:ascii="Garamond" w:cs="Garamond" w:eastAsia="Garamond" w:hAnsi="Garamond"/>
          <w:b w:val="1"/>
          <w:bCs w:val="1"/>
          <w:sz w:val="26"/>
          <w:szCs w:val="26"/>
          <w:rtl w:val="0"/>
        </w:rPr>
        <w:t xml:space="preserve">Networking Letters of the Revolution (1689-1691)</w:t>
      </w:r>
      <w:r w:rsidDel="00000000" w:rsidR="00000000" w:rsidRPr="00000000">
        <w:rPr>
          <w:rtl w:val="0"/>
        </w:rPr>
      </w:r>
    </w:p>
    <w:p w:rsidR="00000000" w:rsidDel="00000000" w:rsidP="00000000" w:rsidRDefault="00000000" w:rsidRPr="00000000" w14:paraId="00000003">
      <w:pPr>
        <w:spacing w:after="200" w:lineRule="auto"/>
        <w:jc w:val="both"/>
        <w:rPr>
          <w:rFonts w:ascii="Garamond" w:cs="Garamond" w:eastAsia="Garamond" w:hAnsi="Garamond"/>
          <w:i w:val="1"/>
          <w:iCs w:val="1"/>
          <w:sz w:val="24"/>
          <w:szCs w:val="24"/>
        </w:rPr>
      </w:pPr>
      <w:r w:rsidDel="00000000" w:rsidR="00000000" w:rsidRPr="00000000">
        <w:rPr>
          <w:rFonts w:ascii="Garamond" w:cs="Garamond" w:eastAsia="Garamond" w:hAnsi="Garamond"/>
          <w:sz w:val="24"/>
          <w:szCs w:val="24"/>
          <w:rtl w:val="0"/>
        </w:rPr>
        <w:t xml:space="preserve">The recent publication of </w:t>
      </w:r>
      <w:hyperlink r:id="rId6">
        <w:r w:rsidDel="00000000" w:rsidR="00000000" w:rsidRPr="00000000">
          <w:rPr>
            <w:rFonts w:ascii="Garamond" w:cs="Garamond" w:eastAsia="Garamond" w:hAnsi="Garamond"/>
            <w:color w:val="1155cc"/>
            <w:sz w:val="24"/>
            <w:szCs w:val="24"/>
            <w:u w:val="single"/>
            <w:rtl w:val="0"/>
          </w:rPr>
          <w:t xml:space="preserve">Tudor Networks</w:t>
        </w:r>
      </w:hyperlink>
      <w:r w:rsidDel="00000000" w:rsidR="00000000" w:rsidRPr="00000000">
        <w:rPr>
          <w:rFonts w:ascii="Garamond" w:cs="Garamond" w:eastAsia="Garamond" w:hAnsi="Garamond"/>
          <w:sz w:val="24"/>
          <w:szCs w:val="24"/>
          <w:rtl w:val="0"/>
        </w:rPr>
        <w:t xml:space="preserve"> and the Stanford </w:t>
      </w:r>
      <w:hyperlink r:id="rId7">
        <w:r w:rsidDel="00000000" w:rsidR="00000000" w:rsidRPr="00000000">
          <w:rPr>
            <w:rFonts w:ascii="Garamond" w:cs="Garamond" w:eastAsia="Garamond" w:hAnsi="Garamond"/>
            <w:color w:val="1155cc"/>
            <w:sz w:val="24"/>
            <w:szCs w:val="24"/>
            <w:u w:val="single"/>
            <w:rtl w:val="0"/>
          </w:rPr>
          <w:t xml:space="preserve">Mapping the Republic of Letters</w:t>
        </w:r>
      </w:hyperlink>
      <w:r w:rsidDel="00000000" w:rsidR="00000000" w:rsidRPr="00000000">
        <w:rPr>
          <w:rFonts w:ascii="Garamond" w:cs="Garamond" w:eastAsia="Garamond" w:hAnsi="Garamond"/>
          <w:sz w:val="24"/>
          <w:szCs w:val="24"/>
          <w:rtl w:val="0"/>
        </w:rPr>
        <w:t xml:space="preserve"> project are important contributions to the growing field of network analysis in the early modern world. These datasets have asked important questions about early modern communication systems and social networks. The communications revolution between 1450 and 1700 transformed the capacity for Europeans–and those in the British Isles–to communicate and engage with each other. Gutenberg’s printing press and the network of universities around Europe provided useful channels for books, ideas, and letters to travel from country to country. During the late seventeenth century, the evolution of newsletters and newspapers allowed information to travel more quickly along those networks. </w:t>
      </w:r>
      <w:r w:rsidDel="00000000" w:rsidR="00000000" w:rsidRPr="00000000">
        <w:rPr>
          <w:rtl w:val="0"/>
        </w:rPr>
      </w:r>
    </w:p>
    <w:p w:rsidR="00000000" w:rsidDel="00000000" w:rsidP="00000000" w:rsidRDefault="00000000" w:rsidRPr="00000000" w14:paraId="00000004">
      <w:pPr>
        <w:spacing w:after="200" w:lineRule="auto"/>
        <w:jc w:val="both"/>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Networking Letters of the Revolution </w:t>
      </w:r>
      <w:r w:rsidDel="00000000" w:rsidR="00000000" w:rsidRPr="00000000">
        <w:rPr>
          <w:rFonts w:ascii="Garamond" w:cs="Garamond" w:eastAsia="Garamond" w:hAnsi="Garamond"/>
          <w:sz w:val="24"/>
          <w:szCs w:val="24"/>
          <w:rtl w:val="0"/>
        </w:rPr>
        <w:t xml:space="preserve">would seek to add to this conversation especially in terms of communication during conflict and regime change. The project seeks to use one main corpus of letters including the Leven and Melville Papers, with the future goal of including two more corpora–the Hamilton Papers, and the letters sent to and from the privy council of Scotland–at a later date. </w:t>
      </w:r>
      <w:r w:rsidDel="00000000" w:rsidR="00000000" w:rsidRPr="00000000">
        <w:rPr>
          <w:rFonts w:ascii="Garamond" w:cs="Garamond" w:eastAsia="Garamond" w:hAnsi="Garamond"/>
          <w:i w:val="1"/>
          <w:iCs w:val="1"/>
          <w:sz w:val="24"/>
          <w:szCs w:val="24"/>
          <w:rtl w:val="0"/>
        </w:rPr>
        <w:t xml:space="preserve">Networking Letters of the Revolution </w:t>
      </w:r>
      <w:r w:rsidDel="00000000" w:rsidR="00000000" w:rsidRPr="00000000">
        <w:rPr>
          <w:rFonts w:ascii="Garamond" w:cs="Garamond" w:eastAsia="Garamond" w:hAnsi="Garamond"/>
          <w:sz w:val="24"/>
          <w:szCs w:val="24"/>
          <w:rtl w:val="0"/>
        </w:rPr>
        <w:t xml:space="preserve">seeks to visualize and connect the world of letters, communication, and networks from disparate collections of manuscript and print sources to understand communication patterns and the distribution of information during wartime. By using network analysis, we can uncover the world of the information trade, diplomatic correspondence patterns, and the anomalies. It also helps in prosopographical analysis of the time period, why certain people group together, and understand the dynamics of group identities. </w:t>
      </w:r>
      <w:r w:rsidDel="00000000" w:rsidR="00000000" w:rsidRPr="00000000">
        <w:rPr>
          <w:rFonts w:ascii="Garamond" w:cs="Garamond" w:eastAsia="Garamond" w:hAnsi="Garamond"/>
          <w:i w:val="1"/>
          <w:iCs w:val="1"/>
          <w:sz w:val="24"/>
          <w:szCs w:val="24"/>
          <w:rtl w:val="0"/>
        </w:rPr>
        <w:t xml:space="preserve">Networking Letters of the Revolution</w:t>
      </w:r>
      <w:r w:rsidDel="00000000" w:rsidR="00000000" w:rsidRPr="00000000">
        <w:rPr>
          <w:rFonts w:ascii="Garamond" w:cs="Garamond" w:eastAsia="Garamond" w:hAnsi="Garamond"/>
          <w:sz w:val="24"/>
          <w:szCs w:val="24"/>
          <w:rtl w:val="0"/>
        </w:rPr>
        <w:t xml:space="preserve"> allows further access to critical information about seventeenth century British history and this pivotal period which shaped much of the modern British state. Perhaps more importantly, the project democratizes the pursuit of knowledge and expands the potential for research in the field.</w:t>
      </w:r>
    </w:p>
    <w:p w:rsidR="00000000" w:rsidDel="00000000" w:rsidP="00000000" w:rsidRDefault="00000000" w:rsidRPr="00000000" w14:paraId="00000005">
      <w:pPr>
        <w:spacing w:after="20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Our project seeks to analyze and understand and explore how communication responded to warfare. Letters are important for more than just their contents. They also have the power to tell us more than just who was writing to who. More importantly, they can tell us who was connected with who, how often letters went missing, the frequency of communication between parties, where networks existed over time and space, and how these evolved over the course of wartime. We seek to develop an open-access project which researchers and the public at large can access to visualize the world of letters in the seventeenth century. Through the wireframing of network analysis, this project hopes to reveal the complex world of communication in late seventeenth century Scotland. </w:t>
      </w:r>
      <w:r w:rsidDel="00000000" w:rsidR="00000000" w:rsidRPr="00000000">
        <w:rPr>
          <w:rFonts w:ascii="Garamond" w:cs="Garamond" w:eastAsia="Garamond" w:hAnsi="Garamond"/>
          <w:i w:val="1"/>
          <w:iCs w:val="1"/>
          <w:sz w:val="24"/>
          <w:szCs w:val="24"/>
          <w:rtl w:val="0"/>
        </w:rPr>
        <w:t xml:space="preserve">Networking Letters of the Revolution </w:t>
      </w:r>
      <w:r w:rsidDel="00000000" w:rsidR="00000000" w:rsidRPr="00000000">
        <w:rPr>
          <w:rFonts w:ascii="Garamond" w:cs="Garamond" w:eastAsia="Garamond" w:hAnsi="Garamond"/>
          <w:sz w:val="24"/>
          <w:szCs w:val="24"/>
          <w:rtl w:val="0"/>
        </w:rPr>
        <w:t xml:space="preserve">is a nascent prototype project with potential to grow considerably. Melville and Leven’s corpus of letters alone constitute approximately 650 pages of material and there are several manuscript counterparts. This project will be led by Gillian Macdonald, Interim Director of the Lab for the Education and Advancement in Digital Research and Assistant Professor in the History Department at MSU. As the project lead, Macdonald will compile the relevant digital sources and transcribe digital versions of manuscripts for input into the digital tool. </w:t>
      </w:r>
    </w:p>
    <w:p w:rsidR="00000000" w:rsidDel="00000000" w:rsidP="00000000" w:rsidRDefault="00000000" w:rsidRPr="00000000" w14:paraId="00000006">
      <w:pPr>
        <w:spacing w:after="20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project will be spearheaded in LEADR and make use of the existing infrastructure and resources that the lab offers </w:t>
      </w:r>
      <w:r w:rsidDel="00000000" w:rsidR="00000000" w:rsidRPr="00000000">
        <w:rPr>
          <w:rFonts w:ascii="Garamond" w:cs="Garamond" w:eastAsia="Garamond" w:hAnsi="Garamond"/>
          <w:sz w:val="24"/>
          <w:szCs w:val="24"/>
          <w:rtl w:val="0"/>
        </w:rPr>
        <w:t xml:space="preserve">with the hope that </w:t>
      </w:r>
      <w:r w:rsidDel="00000000" w:rsidR="00000000" w:rsidRPr="00000000">
        <w:rPr>
          <w:rFonts w:ascii="Garamond" w:cs="Garamond" w:eastAsia="Garamond" w:hAnsi="Garamond"/>
          <w:sz w:val="24"/>
          <w:szCs w:val="24"/>
          <w:rtl w:val="0"/>
        </w:rPr>
        <w:t xml:space="preserve">the project will later be hosted in collaboration with other DH partners on MSU’s campus. Starting in May 2024, phase one will be organizing and putting the data into a usable format in the form of CSV files and Excel spreadsheets and inputting this information into Tropy. Macdonald and partner Morgan Fox, undergraduate, and current undergraduate lab assistant in LEADR expect this process to take 8-12 weeks. This phase includes transcription of some manuscript documents, organization of the data (into nodes and edges for network building) and inputting the data into the Tropy organization system for further use. Macdonald will transcribe the manuscript data and put it into electronic format—a word docx. Fox will then transfer this data into CSV and excel files for use in the network analysis tool.</w:t>
      </w:r>
    </w:p>
    <w:p w:rsidR="00000000" w:rsidDel="00000000" w:rsidP="00000000" w:rsidRDefault="00000000" w:rsidRPr="00000000" w14:paraId="00000007">
      <w:pPr>
        <w:spacing w:after="20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Phase two will be experimenting with different network analysis tools—Gelphi, Net.Create, Flourish, and SocNetV—to create visual representations of the data. What is the best way to visualize those networks and allow future researchers to use the data collected? Throughout the second half of June and into July, Fox and Macdonald will revisit the framing premise in collecting the relevant data from the corpora and then organize the data in terms of important figures, groups, events, and things. In August, Fox will compile the data into important themes and arguments shown throughout the various visualizations. The final phase of the project will be writing up the data compilations for the report and presentation to the DH@MSU research showcase. With the help of the DH Seed Grant, </w:t>
      </w:r>
      <w:r w:rsidDel="00000000" w:rsidR="00000000" w:rsidRPr="00000000">
        <w:rPr>
          <w:rFonts w:ascii="Garamond" w:cs="Garamond" w:eastAsia="Garamond" w:hAnsi="Garamond"/>
          <w:i w:val="1"/>
          <w:iCs w:val="1"/>
          <w:sz w:val="24"/>
          <w:szCs w:val="24"/>
          <w:rtl w:val="0"/>
        </w:rPr>
        <w:t xml:space="preserve">Networking Letters of the Revolution</w:t>
      </w:r>
      <w:r w:rsidDel="00000000" w:rsidR="00000000" w:rsidRPr="00000000">
        <w:rPr>
          <w:rFonts w:ascii="Garamond" w:cs="Garamond" w:eastAsia="Garamond" w:hAnsi="Garamond"/>
          <w:sz w:val="24"/>
          <w:szCs w:val="24"/>
          <w:rtl w:val="0"/>
        </w:rPr>
        <w:t xml:space="preserve"> will respond to the challenge of reassembling the communication network which was fundamental to both the war effort and policy making process in late-seventeenth century Scotland. Since the project is very new, </w:t>
      </w:r>
      <w:r w:rsidDel="00000000" w:rsidR="00000000" w:rsidRPr="00000000">
        <w:rPr>
          <w:rFonts w:ascii="Garamond" w:cs="Garamond" w:eastAsia="Garamond" w:hAnsi="Garamond"/>
          <w:i w:val="1"/>
          <w:iCs w:val="1"/>
          <w:sz w:val="24"/>
          <w:szCs w:val="24"/>
          <w:rtl w:val="0"/>
        </w:rPr>
        <w:t xml:space="preserve">Networking Letters of the Revolution</w:t>
      </w:r>
      <w:r w:rsidDel="00000000" w:rsidR="00000000" w:rsidRPr="00000000">
        <w:rPr>
          <w:rFonts w:ascii="Garamond" w:cs="Garamond" w:eastAsia="Garamond" w:hAnsi="Garamond"/>
          <w:sz w:val="24"/>
          <w:szCs w:val="24"/>
          <w:rtl w:val="0"/>
        </w:rPr>
        <w:t xml:space="preserve"> will benefit greatly from the support.</w:t>
      </w:r>
    </w:p>
    <w:p w:rsidR="00000000" w:rsidDel="00000000" w:rsidP="00000000" w:rsidRDefault="00000000" w:rsidRPr="00000000" w14:paraId="00000008">
      <w:pPr>
        <w:spacing w:after="20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letters exchanged in this period are more than just networks of correspondence; people were bound together through community, print, and dialogue. Exchanging letters in a period of chaotic and often violent warfare was even more complex. Given this, understanding the relationships is paramount to visualizing the data. Context is everything in understanding people, groups, identity, and behavior in the early modern world. Behavior, relationships, and identity changed over the course of the Revolution and </w:t>
      </w:r>
      <w:r w:rsidDel="00000000" w:rsidR="00000000" w:rsidRPr="00000000">
        <w:rPr>
          <w:rFonts w:ascii="Garamond" w:cs="Garamond" w:eastAsia="Garamond" w:hAnsi="Garamond"/>
          <w:i w:val="1"/>
          <w:iCs w:val="1"/>
          <w:sz w:val="24"/>
          <w:szCs w:val="24"/>
          <w:rtl w:val="0"/>
        </w:rPr>
        <w:t xml:space="preserve">Networking Letters of the Revolution</w:t>
      </w:r>
      <w:r w:rsidDel="00000000" w:rsidR="00000000" w:rsidRPr="00000000">
        <w:rPr>
          <w:rFonts w:ascii="Garamond" w:cs="Garamond" w:eastAsia="Garamond" w:hAnsi="Garamond"/>
          <w:sz w:val="24"/>
          <w:szCs w:val="24"/>
          <w:rtl w:val="0"/>
        </w:rPr>
        <w:t xml:space="preserve"> traces those changes and connects historical networks with visual interpretation by building a new database and visual representation of the interconnected nature of communication. </w:t>
      </w:r>
    </w:p>
    <w:p w:rsidR="00000000" w:rsidDel="00000000" w:rsidP="00000000" w:rsidRDefault="00000000" w:rsidRPr="00000000" w14:paraId="00000009">
      <w:pPr>
        <w:spacing w:after="20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Roster of members: </w:t>
      </w:r>
      <w:r w:rsidDel="00000000" w:rsidR="00000000" w:rsidRPr="00000000">
        <w:rPr>
          <w:rFonts w:ascii="Garamond" w:cs="Garamond" w:eastAsia="Garamond" w:hAnsi="Garamond"/>
          <w:sz w:val="24"/>
          <w:szCs w:val="24"/>
          <w:rtl w:val="0"/>
        </w:rPr>
        <w:t xml:space="preserve">The members of the </w:t>
      </w:r>
      <w:r w:rsidDel="00000000" w:rsidR="00000000" w:rsidRPr="00000000">
        <w:rPr>
          <w:rFonts w:ascii="Garamond" w:cs="Garamond" w:eastAsia="Garamond" w:hAnsi="Garamond"/>
          <w:i w:val="1"/>
          <w:iCs w:val="1"/>
          <w:sz w:val="24"/>
          <w:szCs w:val="24"/>
          <w:rtl w:val="0"/>
        </w:rPr>
        <w:t xml:space="preserve">Networking </w:t>
      </w:r>
      <w:r w:rsidDel="00000000" w:rsidR="00000000" w:rsidRPr="00000000">
        <w:rPr>
          <w:rFonts w:ascii="Garamond" w:cs="Garamond" w:eastAsia="Garamond" w:hAnsi="Garamond"/>
          <w:sz w:val="24"/>
          <w:szCs w:val="24"/>
          <w:rtl w:val="0"/>
        </w:rPr>
        <w:t xml:space="preserve">project team are Gillian Macdonald and Morgan Fox. Gillian Macdonald is the Interim Director of the Lab for the Education and Advancement of Digital Research (LEADR) and Morgan Fox is a lab assistant in LEADR. Fox is an undergraduate student pursuing a degree in Data Science, who is currently engaged in clinical data analysis and how digital tools can optimize the success of various fields. Fox will be hired as a research assistant at $17 an hour for 85 hours of work and Macdonald hired for $20 for 25 hours of work in the summertime. Macdonald will be responsible for researching, collecting, organizing, and collating the data. Fox will be responsible for then putting the data into a usable format and inputting that data into Net.Create and Flourish to create effective visualizations. Macdonald is a productive scholar in the early modern field with two research articles focused on widows’ petitions and effective local strategic policy in late-seventeenth century Scotland coming out in 2024. Fox is an accomplished data science major with experience in using various digital tools as a lab assistant in LEADR. </w:t>
      </w:r>
    </w:p>
    <w:p w:rsidR="00000000" w:rsidDel="00000000" w:rsidP="00000000" w:rsidRDefault="00000000" w:rsidRPr="00000000" w14:paraId="0000000A">
      <w:pPr>
        <w:spacing w:after="20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B">
      <w:pPr>
        <w:spacing w:after="20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C">
      <w:pPr>
        <w:spacing w:after="20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Garamond" w:cs="Garamond" w:eastAsia="Garamond" w:hAnsi="Garamond"/>
          <w:b w:val="1"/>
          <w:bCs w:val="1"/>
          <w:sz w:val="26"/>
          <w:szCs w:val="26"/>
          <w:u w:val="single"/>
          <w:rtl w:val="0"/>
        </w:rPr>
        <w:t xml:space="preserve">Budget:</w:t>
      </w:r>
      <w:r w:rsidDel="00000000" w:rsidR="00000000" w:rsidRPr="00000000">
        <w:rPr>
          <w:rFonts w:ascii="Garamond" w:cs="Garamond" w:eastAsia="Garamond" w:hAnsi="Garamond"/>
          <w:sz w:val="26"/>
          <w:szCs w:val="26"/>
          <w:rtl w:val="0"/>
        </w:rPr>
        <w:t xml:space="preserve"> DH Seed Grant: $2000</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pPr w:leftFromText="180" w:rightFromText="180" w:topFromText="180" w:bottomFromText="180" w:vertAnchor="text" w:horzAnchor="text" w:tblpX="-48.00000000000001" w:tblpY="0"/>
        <w:tblW w:w="968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230"/>
        <w:gridCol w:w="1230"/>
        <w:gridCol w:w="1335"/>
        <w:gridCol w:w="1395"/>
        <w:gridCol w:w="1485"/>
        <w:gridCol w:w="1235.9999999999995"/>
        <w:tblGridChange w:id="0">
          <w:tblGrid>
            <w:gridCol w:w="1770"/>
            <w:gridCol w:w="1230"/>
            <w:gridCol w:w="1230"/>
            <w:gridCol w:w="1335"/>
            <w:gridCol w:w="1395"/>
            <w:gridCol w:w="1485"/>
            <w:gridCol w:w="1235.9999999999995"/>
          </w:tblGrid>
        </w:tblGridChange>
      </w:tblGrid>
      <w:tr>
        <w:trPr>
          <w:cantSplit w:val="0"/>
          <w:trHeight w:val="458.9999999999986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r>
          </w:p>
        </w:tc>
        <w:tc>
          <w:tcPr>
            <w:gridSpan w:val="6"/>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Lobster" w:cs="Lobster" w:eastAsia="Lobster" w:hAnsi="Lobster"/>
                <w:sz w:val="26"/>
                <w:szCs w:val="26"/>
                <w:rtl w:val="0"/>
              </w:rPr>
              <w:t xml:space="preserve">Networking the Revolution</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EB Garamond" w:cs="EB Garamond" w:eastAsia="EB Garamond" w:hAnsi="EB Garamond"/>
                <w:sz w:val="20"/>
                <w:szCs w:val="20"/>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i w:val="1"/>
                <w:iCs w:val="1"/>
                <w:sz w:val="24"/>
                <w:szCs w:val="24"/>
                <w:rtl w:val="0"/>
              </w:rPr>
              <w:t xml:space="preserve">Summer 2024</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i w:val="1"/>
                <w:iCs w:val="1"/>
                <w:sz w:val="24"/>
                <w:szCs w:val="24"/>
                <w:rtl w:val="0"/>
              </w:rPr>
              <w:t xml:space="preserve">Fall 2023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MAY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JUNE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JULY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AUGUST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SEPTEMBER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OCTOBER</w:t>
            </w:r>
            <w:r w:rsidDel="00000000" w:rsidR="00000000" w:rsidRPr="00000000">
              <w:rPr>
                <w:rtl w:val="0"/>
              </w:rPr>
            </w:r>
          </w:p>
        </w:tc>
      </w:tr>
      <w:tr>
        <w:trPr>
          <w:cantSplit w:val="0"/>
          <w:trHeight w:val="1020"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Labor Cost</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w:t>
            </w:r>
            <w:r w:rsidDel="00000000" w:rsidR="00000000" w:rsidRPr="00000000">
              <w:rPr>
                <w:rFonts w:ascii="EB Garamond" w:cs="EB Garamond" w:eastAsia="EB Garamond" w:hAnsi="EB Garamond"/>
                <w:rtl w:val="0"/>
              </w:rPr>
              <w:t xml:space="preserve">x $17 + 10 x $20 = $591</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w:t>
            </w:r>
            <w:r w:rsidDel="00000000" w:rsidR="00000000" w:rsidRPr="00000000">
              <w:rPr>
                <w:rFonts w:ascii="EB Garamond" w:cs="EB Garamond" w:eastAsia="EB Garamond" w:hAnsi="EB Garamond"/>
                <w:rtl w:val="0"/>
              </w:rPr>
              <w:t xml:space="preserve">x $17 + 10 x $20 = $591</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w:t>
            </w:r>
            <w:r w:rsidDel="00000000" w:rsidR="00000000" w:rsidRPr="00000000">
              <w:rPr>
                <w:rFonts w:ascii="EB Garamond" w:cs="EB Garamond" w:eastAsia="EB Garamond" w:hAnsi="EB Garamond"/>
                <w:rtl w:val="0"/>
              </w:rPr>
              <w:t xml:space="preserve">x $17 = $391</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w:t>
            </w:r>
            <w:r w:rsidDel="00000000" w:rsidR="00000000" w:rsidRPr="00000000">
              <w:rPr>
                <w:rFonts w:ascii="EB Garamond" w:cs="EB Garamond" w:eastAsia="EB Garamond" w:hAnsi="EB Garamond"/>
                <w:rtl w:val="0"/>
              </w:rPr>
              <w:t xml:space="preserve">x $17 = $391</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w:t>
            </w:r>
            <w:r w:rsidDel="00000000" w:rsidR="00000000" w:rsidRPr="00000000">
              <w:rPr>
                <w:rFonts w:ascii="EB Garamond" w:cs="EB Garamond" w:eastAsia="EB Garamond" w:hAnsi="EB Garamond"/>
                <w:rtl w:val="0"/>
              </w:rPr>
              <w:t xml:space="preserve"> x $18 = $36</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EB Garamond" w:cs="EB Garamond" w:eastAsia="EB Garamond" w:hAnsi="EB Garamond"/>
                <w:sz w:val="20"/>
                <w:szCs w:val="20"/>
              </w:rPr>
            </w:pPr>
            <w:r w:rsidDel="00000000" w:rsidR="00000000" w:rsidRPr="00000000">
              <w:rPr>
                <w:rtl w:val="0"/>
              </w:rPr>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2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2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2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2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2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3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31">
            <w:pPr>
              <w:widowControl w:val="0"/>
              <w:rPr>
                <w:sz w:val="20"/>
                <w:szCs w:val="20"/>
              </w:rPr>
            </w:pP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Gillian Macdonald Work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10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10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EB Garamond" w:cs="EB Garamond" w:eastAsia="EB Garamond" w:hAnsi="EB Garamond"/>
                <w:sz w:val="20"/>
                <w:szCs w:val="20"/>
              </w:rPr>
            </w:pPr>
            <w:r w:rsidDel="00000000" w:rsidR="00000000" w:rsidRPr="00000000">
              <w:rPr>
                <w:rtl w:val="0"/>
              </w:rPr>
            </w:r>
          </w:p>
        </w:tc>
      </w:tr>
      <w:tr>
        <w:trPr>
          <w:cantSplit w:val="0"/>
          <w:trHeight w:val="678.329999999997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Morgan Fox       Work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23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2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EB Garamond" w:cs="EB Garamond" w:eastAsia="EB Garamond" w:hAnsi="EB Garamond"/>
                <w:sz w:val="20"/>
                <w:szCs w:val="20"/>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Garamond" w:cs="Garamond" w:eastAsia="Garamond" w:hAnsi="Garamond"/>
          <w:sz w:val="26"/>
          <w:szCs w:val="26"/>
        </w:rPr>
      </w:pPr>
      <w:r w:rsidDel="00000000" w:rsidR="00000000" w:rsidRPr="00000000">
        <w:rPr>
          <w:rFonts w:ascii="Garamond" w:cs="Garamond" w:eastAsia="Garamond" w:hAnsi="Garamond"/>
          <w:b w:val="1"/>
          <w:bCs w:val="1"/>
          <w:sz w:val="26"/>
          <w:szCs w:val="26"/>
          <w:u w:val="single"/>
          <w:rtl w:val="0"/>
        </w:rPr>
        <w:t xml:space="preserve">Timetable:</w:t>
      </w:r>
      <w:r w:rsidDel="00000000" w:rsidR="00000000" w:rsidRPr="00000000">
        <w:rPr>
          <w:rFonts w:ascii="Garamond" w:cs="Garamond" w:eastAsia="Garamond" w:hAnsi="Garamond"/>
          <w:sz w:val="26"/>
          <w:szCs w:val="26"/>
          <w:rtl w:val="0"/>
        </w:rPr>
        <w:t xml:space="preserve"> Summer and Fall 2024</w:t>
      </w:r>
    </w:p>
    <w:p w:rsidR="00000000" w:rsidDel="00000000" w:rsidP="00000000" w:rsidRDefault="00000000" w:rsidRPr="00000000" w14:paraId="00000052">
      <w:pPr>
        <w:rPr/>
      </w:pPr>
      <w:r w:rsidDel="00000000" w:rsidR="00000000" w:rsidRPr="00000000">
        <w:rPr>
          <w:rtl w:val="0"/>
        </w:rPr>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481.9999999999993"/>
        <w:gridCol w:w="1503.0000000000007"/>
        <w:gridCol w:w="1290"/>
        <w:gridCol w:w="1320"/>
        <w:gridCol w:w="1395"/>
        <w:gridCol w:w="1575"/>
        <w:tblGridChange w:id="0">
          <w:tblGrid>
            <w:gridCol w:w="1305"/>
            <w:gridCol w:w="1481.9999999999993"/>
            <w:gridCol w:w="1503.0000000000007"/>
            <w:gridCol w:w="1290"/>
            <w:gridCol w:w="1320"/>
            <w:gridCol w:w="1395"/>
            <w:gridCol w:w="157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EB Garamond" w:cs="EB Garamond" w:eastAsia="EB Garamond" w:hAnsi="EB Garamond"/>
                <w:sz w:val="20"/>
                <w:szCs w:val="20"/>
              </w:rPr>
            </w:pPr>
            <w:r w:rsidDel="00000000" w:rsidR="00000000" w:rsidRPr="00000000">
              <w:rPr>
                <w:rtl w:val="0"/>
              </w:rPr>
            </w:r>
          </w:p>
        </w:tc>
        <w:tc>
          <w:tcPr>
            <w:gridSpan w:val="6"/>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EB Garamond" w:cs="EB Garamond" w:eastAsia="EB Garamond" w:hAnsi="EB Garamond"/>
                <w:sz w:val="20"/>
                <w:szCs w:val="20"/>
              </w:rPr>
            </w:pPr>
            <w:r w:rsidDel="00000000" w:rsidR="00000000" w:rsidRPr="00000000">
              <w:rPr>
                <w:rFonts w:ascii="Lobster" w:cs="Lobster" w:eastAsia="Lobster" w:hAnsi="Lobster"/>
                <w:sz w:val="26"/>
                <w:szCs w:val="26"/>
                <w:rtl w:val="0"/>
              </w:rPr>
              <w:t xml:space="preserve">Networking the Revolution</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rPr>
                <w:rFonts w:ascii="EB Garamond" w:cs="EB Garamond" w:eastAsia="EB Garamond" w:hAnsi="EB Garamond"/>
                <w:sz w:val="20"/>
                <w:szCs w:val="20"/>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i w:val="1"/>
                <w:iCs w:val="1"/>
                <w:sz w:val="24"/>
                <w:szCs w:val="24"/>
                <w:rtl w:val="0"/>
              </w:rPr>
              <w:t xml:space="preserve">Summer 2024</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i w:val="1"/>
                <w:iCs w:val="1"/>
                <w:sz w:val="24"/>
                <w:szCs w:val="24"/>
                <w:rtl w:val="0"/>
              </w:rPr>
              <w:t xml:space="preserve">Fall 2024</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u w:val="single"/>
                <w:rtl w:val="0"/>
              </w:rPr>
              <w:t xml:space="preserve">MAY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u w:val="single"/>
                <w:rtl w:val="0"/>
              </w:rPr>
              <w:t xml:space="preserve">JUNE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u w:val="single"/>
                <w:rtl w:val="0"/>
              </w:rPr>
              <w:t xml:space="preserve">JULY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u w:val="single"/>
                <w:rtl w:val="0"/>
              </w:rPr>
              <w:t xml:space="preserve">AUGUST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u w:val="single"/>
                <w:rtl w:val="0"/>
              </w:rPr>
              <w:t xml:space="preserve">SEPTEMBER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u w:val="single"/>
                <w:rtl w:val="0"/>
              </w:rPr>
              <w:t xml:space="preserve">OCTOBER</w:t>
            </w:r>
            <w:r w:rsidDel="00000000" w:rsidR="00000000" w:rsidRPr="00000000">
              <w:rPr>
                <w:rtl w:val="0"/>
              </w:rPr>
            </w:r>
          </w:p>
        </w:tc>
      </w:tr>
      <w:tr>
        <w:trPr>
          <w:cantSplit w:val="0"/>
          <w:trHeight w:val="130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rFonts w:ascii="EB Garamond" w:cs="EB Garamond" w:eastAsia="EB Garamond" w:hAnsi="EB Garamond"/>
                <w:b w:val="1"/>
                <w:bCs w:val="1"/>
                <w:i w:val="1"/>
                <w:iCs w:val="1"/>
              </w:rPr>
            </w:pPr>
            <w:r w:rsidDel="00000000" w:rsidR="00000000" w:rsidRPr="00000000">
              <w:rPr>
                <w:rFonts w:ascii="EB Garamond" w:cs="EB Garamond" w:eastAsia="EB Garamond" w:hAnsi="EB Garamond"/>
                <w:b w:val="1"/>
                <w:bCs w:val="1"/>
                <w:i w:val="1"/>
                <w:iCs w:val="1"/>
                <w:rtl w:val="0"/>
              </w:rPr>
              <w:t xml:space="preserve">Dates and Deadlines</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Gillian &amp; Morgan meeting</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Attend DREAM Lab for further DH experience</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Gillian &amp; Morgan meeting</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rPr>
                <w:rFonts w:ascii="EB Garamond" w:cs="EB Garamond" w:eastAsia="EB Garamond" w:hAnsi="EB Garamond"/>
                <w:sz w:val="20"/>
                <w:szCs w:val="20"/>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Gillian &amp; Morgan meeting</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Due October 4: a report of 1,500 words describing project outcomes</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r>
      <w:tr>
        <w:trPr>
          <w:cantSplit w:val="0"/>
          <w:trHeight w:val="11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b w:val="1"/>
                <w:bCs w:val="1"/>
                <w:i w:val="1"/>
                <w:iCs w:val="1"/>
                <w:rtl w:val="0"/>
              </w:rPr>
              <w:t xml:space="preserve">DH Grant Committee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 Seed Grant Recipient Meeting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 Seed Grant Recipient Meeting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rPr>
                <w:rFonts w:ascii="EB Garamond" w:cs="EB Garamond" w:eastAsia="EB Garamond" w:hAnsi="EB Garamond"/>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 Seed Grant Recipient Meeting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rFonts w:ascii="EB Garamond" w:cs="EB Garamond" w:eastAsia="EB Garamond" w:hAnsi="EB Garamond"/>
                <w:sz w:val="20"/>
                <w:szCs w:val="20"/>
              </w:rPr>
            </w:pPr>
            <w:r w:rsidDel="00000000" w:rsidR="00000000" w:rsidRPr="00000000">
              <w:rPr>
                <w:rtl w:val="0"/>
              </w:rPr>
            </w:r>
          </w:p>
        </w:tc>
      </w:tr>
      <w:tr>
        <w:trPr>
          <w:cantSplit w:val="0"/>
          <w:trHeight w:val="2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b w:val="1"/>
                <w:bCs w:val="1"/>
                <w:i w:val="1"/>
                <w:iCs w:val="1"/>
                <w:rtl w:val="0"/>
              </w:rPr>
              <w:t xml:space="preserve">Goals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Schedule project member meetings and plan summer. Collect and organize the data. Get started on data conversion</w:t>
            </w:r>
            <w:r w:rsidDel="00000000" w:rsidR="00000000" w:rsidRPr="00000000">
              <w:rPr>
                <w:rFonts w:ascii="EB Garamond" w:cs="EB Garamond" w:eastAsia="EB Garamond" w:hAnsi="EB Garamond"/>
                <w:sz w:val="18"/>
                <w:szCs w:val="18"/>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Continue data conversion. Design wireframing and experiment with different network analysis tools.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Begin inputting data as nodes and edges in the chosen network analysis tool.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Continue inputting data. Begin preparation for presentation of research outcomes.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Finalize presentation and write up for DH@MSU website.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DH@MSU Research Showcase</w:t>
            </w:r>
            <w:r w:rsidDel="00000000" w:rsidR="00000000" w:rsidRPr="00000000">
              <w:rPr>
                <w:rtl w:val="0"/>
              </w:rPr>
            </w:r>
          </w:p>
        </w:tc>
      </w:tr>
      <w:tr>
        <w:trPr>
          <w:cantSplit w:val="0"/>
          <w:trHeight w:val="873.0000000000041"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b w:val="1"/>
                <w:bCs w:val="1"/>
                <w:i w:val="1"/>
                <w:iCs w:val="1"/>
                <w:rtl w:val="0"/>
              </w:rPr>
              <w:t xml:space="preserve">Working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33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33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23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23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2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rPr>
                <w:rFonts w:ascii="EB Garamond" w:cs="EB Garamond" w:eastAsia="EB Garamond" w:hAnsi="EB Garamond"/>
                <w:sz w:val="20"/>
                <w:szCs w:val="20"/>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EB Garamond">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udornetworks.net/" TargetMode="External"/><Relationship Id="rId7" Type="http://schemas.openxmlformats.org/officeDocument/2006/relationships/hyperlink" Target="http://republicofletters.stanfor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EBGaramond-boldItalic.ttf"/><Relationship Id="rId5" Type="http://schemas.openxmlformats.org/officeDocument/2006/relationships/font" Target="fonts/Lobster-regular.ttf"/><Relationship Id="rId6" Type="http://schemas.openxmlformats.org/officeDocument/2006/relationships/font" Target="fonts/EBGaramond-regular.ttf"/><Relationship Id="rId7" Type="http://schemas.openxmlformats.org/officeDocument/2006/relationships/font" Target="fonts/EBGaramond-bold.ttf"/><Relationship Id="rId8" Type="http://schemas.openxmlformats.org/officeDocument/2006/relationships/font" Target="fonts/EBGaramon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