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Melbourne Housing Market Analysis</w:t>
      </w:r>
    </w:p>
    <w:p>
      <w:r>
        <w:rPr>
          <w:i/>
          <w:iCs/>
          <w:color w:val="666666"/>
        </w:rPr>
        <w:t xml:space="preserve">Investment Insights Report | Top 20 Suburbs | 2016-2017</w:t>
      </w:r>
    </w:p>
    <w:p/>
    <w:p>
      <w:pPr>
        <w:pStyle w:val="Heading2"/>
      </w:pPr>
      <w:r>
        <w:t xml:space="preserve">Executive Summary</w:t>
      </w:r>
    </w:p>
    <w:p>
      <w:r>
        <w:t xml:space="preserve">Analyzed 3,419 property transactions across Melbourne's top 20 suburbs by volume, representing 29.4% of the cleaned dataset. This analysis identifies undervalued suburbs, price premiums by property type and bedroom count, and market trends to support investment decision-making.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Suburbs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Median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Market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3,419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+20%</w:t>
            </w:r>
          </w:p>
        </w:tc>
      </w:tr>
    </w:tbl>
    <w:p/>
    <w:p>
      <w:pPr>
        <w:pStyle w:val="Heading2"/>
      </w:pPr>
      <w:r>
        <w:t xml:space="preserve">Top 3 Investment Insights</w:t>
      </w:r>
    </w:p>
    <w:p>
      <w:pPr>
        <w:pStyle w:val="Heading3"/>
      </w:pPr>
      <w:r>
        <w:t xml:space="preserve">1. Undervalued Northern Suburbs</w:t>
      </w:r>
    </w:p>
    <w:p>
      <w:r>
        <w:rPr>
          <w:b/>
          <w:bCs/>
        </w:rPr>
        <w:t xml:space="preserve">Reservoir </w:t>
      </w:r>
      <w:r>
        <w:t xml:space="preserve">offers 46% lower median price ($705K) vs adjacent Northcote ($1.3M) despite similar distance from CBD (11.2km vs 5.5km). Similarly, </w:t>
      </w:r>
      <w:r>
        <w:rPr>
          <w:b/>
          <w:bCs/>
        </w:rPr>
        <w:t xml:space="preserve">Glenroy </w:t>
      </w:r>
      <w:r>
        <w:t xml:space="preserve">is 45% below Moonee Ponds ($678K vs $1.24M). Both suburbs show strong transaction volume (337 and 154 respectively), indicating active buyer interest and potential for capital growth as inner-suburb spillover continues.</w:t>
      </w:r>
    </w:p>
    <w:p>
      <w:pPr>
        <w:pStyle w:val="ListParagraph"/>
        <w:numPr>
          <w:ilvl w:val="0"/>
          <w:numId w:val="2"/>
        </w:numPr>
      </w:pPr>
      <w:r>
        <w:t xml:space="preserve">Reservoir: $705,000 median (337 transactions)</w:t>
      </w:r>
    </w:p>
    <w:p>
      <w:pPr>
        <w:pStyle w:val="ListParagraph"/>
        <w:numPr>
          <w:ilvl w:val="0"/>
          <w:numId w:val="2"/>
        </w:numPr>
      </w:pPr>
      <w:r>
        <w:t xml:space="preserve">Glenroy: $677,500 median (154 transactions)</w:t>
      </w:r>
    </w:p>
    <w:p>
      <w:pPr>
        <w:pStyle w:val="ListParagraph"/>
        <w:numPr>
          <w:ilvl w:val="0"/>
          <w:numId w:val="2"/>
        </w:numPr>
      </w:pPr>
      <w:r>
        <w:t xml:space="preserve">Coburg: $944,000 median, 9% below Brunswick (170 transactions)</w:t>
      </w:r>
    </w:p>
    <w:p/>
    <w:p>
      <w:pPr>
        <w:pStyle w:val="Heading3"/>
      </w:pPr>
      <w:r>
        <w:t xml:space="preserve">2. House vs Unit Premium Opportunity</w:t>
      </w:r>
    </w:p>
    <w:p>
      <w:r>
        <w:t xml:space="preserve">Houses command significant premiums over units, particularly in established suburbs. In </w:t>
      </w:r>
      <w:r>
        <w:rPr>
          <w:b/>
          <w:bCs/>
        </w:rPr>
        <w:t xml:space="preserve">Kew</w:t>
      </w:r>
      <w:r>
        <w:t xml:space="preserve">, houses ($2.2M) trade at 230% premium over units ($666K). This spread suggests unit buyers in premium suburbs face less competition and may benefit from long-term land value appreciation through strata title.</w:t>
      </w:r>
    </w:p>
    <w:p>
      <w:pPr>
        <w:pStyle w:val="ListParagraph"/>
        <w:numPr>
          <w:ilvl w:val="0"/>
          <w:numId w:val="2"/>
        </w:numPr>
      </w:pPr>
      <w:r>
        <w:t xml:space="preserve">Kew: 230% house premium over units</w:t>
      </w:r>
    </w:p>
    <w:p>
      <w:pPr>
        <w:pStyle w:val="ListParagraph"/>
        <w:numPr>
          <w:ilvl w:val="0"/>
          <w:numId w:val="2"/>
        </w:numPr>
      </w:pPr>
      <w:r>
        <w:t xml:space="preserve">Camberwell: 204% premium</w:t>
      </w:r>
    </w:p>
    <w:p>
      <w:pPr>
        <w:pStyle w:val="ListParagraph"/>
        <w:numPr>
          <w:ilvl w:val="0"/>
          <w:numId w:val="2"/>
        </w:numPr>
      </w:pPr>
      <w:r>
        <w:t xml:space="preserve">Glen Iris: 172% premium</w:t>
      </w:r>
    </w:p>
    <w:p/>
    <w:p>
      <w:pPr>
        <w:pStyle w:val="Heading3"/>
      </w:pPr>
      <w:r>
        <w:t xml:space="preserve">3. 4-Bedroom Premium in Eastern Suburbs</w:t>
      </w:r>
    </w:p>
    <w:p>
      <w:r>
        <w:t xml:space="preserve">Adding a 4th bedroom commands premium of 30-46% in eastern suburbs, reflecting family buyer demand. </w:t>
      </w:r>
      <w:r>
        <w:rPr>
          <w:b/>
          <w:bCs/>
        </w:rPr>
        <w:t xml:space="preserve">Kew </w:t>
      </w:r>
      <w:r>
        <w:t xml:space="preserve">shows strongest premium (46%: $1.6M for 3BR vs $2.35M for 4BR), followed by </w:t>
      </w:r>
      <w:r>
        <w:rPr>
          <w:b/>
          <w:bCs/>
        </w:rPr>
        <w:t xml:space="preserve">Brighton </w:t>
      </w:r>
      <w:r>
        <w:t xml:space="preserve">(40%) and </w:t>
      </w:r>
      <w:r>
        <w:rPr>
          <w:b/>
          <w:bCs/>
        </w:rPr>
        <w:t xml:space="preserve">Camberwell </w:t>
      </w:r>
      <w:r>
        <w:t xml:space="preserve">(37%). Investors renovating to add bedrooms in these suburbs may capture significant value uplift.</w:t>
      </w:r>
    </w:p>
    <w:p/>
    <w:p>
      <w:pPr>
        <w:pStyle w:val="Heading2"/>
      </w:pPr>
      <w:r>
        <w:t xml:space="preserve">Methodology</w:t>
      </w:r>
    </w:p>
    <w:p>
      <w:pPr>
        <w:pStyle w:val="Heading3"/>
      </w:pPr>
      <w:r>
        <w:t xml:space="preserve">Data Cleaning</w:t>
      </w:r>
    </w:p>
    <w:p>
      <w:pPr>
        <w:pStyle w:val="ListParagraph"/>
        <w:numPr>
          <w:ilvl w:val="0"/>
          <w:numId w:val="3"/>
        </w:numPr>
      </w:pPr>
      <w:r>
        <w:t xml:space="preserve">Started with 13,580 raw records from Kaggle Melbourne Housing dataset (Domain.com.au 2016-2017)</w:t>
      </w:r>
    </w:p>
    <w:p>
      <w:pPr>
        <w:pStyle w:val="ListParagraph"/>
        <w:numPr>
          <w:ilvl w:val="0"/>
          <w:numId w:val="3"/>
        </w:numPr>
      </w:pPr>
      <w:r>
        <w:t xml:space="preserve">Removed 1,942 records with invalid Landsize (&lt;=0 or &gt;50,000 sqm) to enable price/sqm calculations</w:t>
      </w:r>
    </w:p>
    <w:p>
      <w:pPr>
        <w:pStyle w:val="ListParagraph"/>
        <w:numPr>
          <w:ilvl w:val="0"/>
          <w:numId w:val="3"/>
        </w:numPr>
      </w:pPr>
      <w:r>
        <w:t xml:space="preserve">Standardized 314 suburb names (8 case corrections)</w:t>
      </w:r>
    </w:p>
    <w:p>
      <w:pPr>
        <w:pStyle w:val="ListParagraph"/>
        <w:numPr>
          <w:ilvl w:val="0"/>
          <w:numId w:val="3"/>
        </w:numPr>
      </w:pPr>
      <w:r>
        <w:t xml:space="preserve">Final cleaned dataset: 11,638 records at 95.2% completeness</w:t>
      </w:r>
    </w:p>
    <w:p/>
    <w:p>
      <w:pPr>
        <w:pStyle w:val="Heading3"/>
      </w:pPr>
      <w:r>
        <w:t xml:space="preserve">Suburb Selection</w:t>
      </w:r>
    </w:p>
    <w:p>
      <w:r>
        <w:t xml:space="preserve">Selected top 20 suburbs by transaction volume to ensure statistical significance. This subset (3,419 records) represents 29.4% of cleaned data while providing minimum ~120 transactions per suburb for reliable median calculations.</w:t>
      </w:r>
    </w:p>
    <w:p/>
    <w:p>
      <w:pPr>
        <w:pStyle w:val="Heading3"/>
      </w:pPr>
      <w:r>
        <w:t xml:space="preserve">Outlier Detection</w:t>
      </w:r>
    </w:p>
    <w:p>
      <w:r>
        <w:t xml:space="preserve">Flagged properties with price deviation &gt;50% from suburb median as potential investment opportunities or data anomalies. Identified 567 underpriced and 300 overpriced properties for further review.</w:t>
      </w:r>
    </w:p>
    <w:p/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</w:pPr>
      <w:r>
        <w:t xml:space="preserve">Historical data (2016-2017) - not reflective of current market conditions</w:t>
      </w:r>
    </w:p>
    <w:p>
      <w:pPr>
        <w:pStyle w:val="ListParagraph"/>
        <w:numPr>
          <w:ilvl w:val="0"/>
          <w:numId w:val="2"/>
        </w:numPr>
      </w:pPr>
      <w:r>
        <w:t xml:space="preserve">Excludes off-market sales and private transactions</w:t>
      </w:r>
    </w:p>
    <w:p>
      <w:pPr>
        <w:pStyle w:val="ListParagraph"/>
        <w:numPr>
          <w:ilvl w:val="0"/>
          <w:numId w:val="2"/>
        </w:numPr>
      </w:pPr>
      <w:r>
        <w:t xml:space="preserve">Analysis limited to top 20 suburbs by volume; smaller suburbs may show different patterns</w:t>
      </w:r>
    </w:p>
    <w:p>
      <w:pPr>
        <w:pStyle w:val="ListParagraph"/>
        <w:numPr>
          <w:ilvl w:val="0"/>
          <w:numId w:val="2"/>
        </w:numPr>
      </w:pPr>
      <w:r>
        <w:t xml:space="preserve">BuildingArea data missing for 47.5% of records, limiting floor-area-based analysis</w:t>
      </w:r>
    </w:p>
    <w:p/>
    <w:p>
      <w:pPr>
        <w:pStyle w:val="Heading2"/>
      </w:pPr>
      <w:r>
        <w:t xml:space="preserve">Tools &amp; Technologies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Python: </w:t>
      </w:r>
      <w:r>
        <w:t xml:space="preserve">pandas, numpy for data cleaning and feature engineering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Excel: </w:t>
      </w:r>
      <w:r>
        <w:t xml:space="preserve">Pivot tables, conditional formatting, 5 charts (bar, line, scatter)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 xml:space="preserve">Kaggle Melbourne Housing Dataset (Domain.com.au)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2026-01-29T14:54:12.738Z</dcterms:created>
  <dcterms:modified xsi:type="dcterms:W3CDTF">2026-01-29T14:54:12.738Z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