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w:t>
      </w:r>
      <w:r>
        <w:t xml:space="preserve"> </w:t>
      </w:r>
      <m:oMath>
        <m:f>
          <m:fPr>
            <m:type m:val="bar"/>
          </m:fPr>
          <m:num>
            <m:r>
              <m:t>1</m:t>
            </m:r>
          </m:num>
          <m:den>
            <m:r>
              <m:t>2</m:t>
            </m:r>
          </m:den>
        </m:f>
      </m:oMath>
      <w:r>
        <w:t xml:space="preserve">,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f>
          <m:fPr>
            <m:type m:val="bar"/>
          </m:fPr>
          <m:num>
            <m:r>
              <m:t>1</m:t>
            </m:r>
          </m:num>
          <m:den>
            <m:r>
              <m:t>2</m:t>
            </m:r>
          </m:den>
        </m:f>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p>
      <w:pPr>
        <w:numPr>
          <w:ilvl w:val="0"/>
          <w:numId w:val="1001"/>
        </w:numPr>
      </w:pPr>
      <w:r>
        <w:t xml:space="preserve">Refer to equations (1.3) and (1.5) in Sorensen. Say you observe</w:t>
      </w:r>
      <w:r>
        <w:t xml:space="preserve"> </w:t>
      </w:r>
      <m:oMath>
        <m:r>
          <m:t>8</m:t>
        </m:r>
      </m:oMath>
      <w:r>
        <w:t xml:space="preserve"> </w:t>
      </w:r>
      <w:r>
        <w:t xml:space="preserve">individuals, and</w:t>
      </w:r>
      <w:r>
        <w:t xml:space="preserve"> </w:t>
      </w:r>
      <m:oMath>
        <m:r>
          <m:t>1</m:t>
        </m:r>
      </m:oMath>
      <w:r>
        <w:t xml:space="preserve"> </w:t>
      </w:r>
      <w:r>
        <w:t xml:space="preserve">copies of genotype</w:t>
      </w:r>
      <w:r>
        <w:t xml:space="preserve"> </w:t>
      </w:r>
      <m:oMath>
        <m:r>
          <m:t>X</m:t>
        </m:r>
      </m:oMath>
      <w:r>
        <w:t xml:space="preserve">. Assume that</w:t>
      </w:r>
      <w:r>
        <w:t xml:space="preserve"> </w:t>
      </w:r>
      <m:oMath>
        <m:r>
          <m:t>X</m:t>
        </m:r>
        <m:r>
          <m:rPr>
            <m:sty m:val="p"/>
          </m:rPr>
          <m:t>∼</m:t>
        </m:r>
        <m:r>
          <m:rPr>
            <m:nor/>
            <m:sty m:val="p"/>
            <m:scr m:val="sans-serif"/>
          </m:rPr>
          <m:t>Binom</m:t>
        </m:r>
        <m:d>
          <m:dPr>
            <m:begChr m:val="("/>
            <m:sepChr m:val=""/>
            <m:endChr m:val=")"/>
            <m:grow/>
          </m:dPr>
          <m:e>
            <m:r>
              <m:t>n</m:t>
            </m:r>
            <m:r>
              <m:rPr>
                <m:sty m:val="p"/>
              </m:rPr>
              <m:t>,</m:t>
            </m:r>
            <m:r>
              <m:t>θ</m:t>
            </m:r>
          </m:e>
        </m:d>
      </m:oMath>
      <w:r>
        <w:t xml:space="preserve">.</w:t>
      </w:r>
    </w:p>
    <w:p>
      <w:pPr>
        <w:pStyle w:val="Compact"/>
        <w:numPr>
          <w:ilvl w:val="0"/>
          <w:numId w:val="1004"/>
        </w:numPr>
      </w:pPr>
      <w:r>
        <w:t xml:space="preserve">Compute</w:t>
      </w:r>
      <w:r>
        <w:t xml:space="preserve"> </w:t>
      </w:r>
      <m:oMath>
        <m:acc>
          <m:accPr>
            <m:chr m:val="̂"/>
          </m:accPr>
          <m:e>
            <m:r>
              <m:t>θ</m:t>
            </m:r>
          </m:e>
        </m:acc>
      </m:oMath>
    </w:p>
    <w:p>
      <w:pPr>
        <w:pStyle w:val="Compact"/>
        <w:numPr>
          <w:ilvl w:val="0"/>
          <w:numId w:val="1004"/>
        </w:numPr>
      </w:pPr>
      <w:r>
        <w:t xml:space="preserve">Compute</w:t>
      </w:r>
      <w:r>
        <w:t xml:space="preserve"> </w:t>
      </w:r>
      <m:oMath>
        <m:acc>
          <m:accPr>
            <m:chr m:val="̂"/>
          </m:accPr>
          <m:e>
            <m:r>
              <m:rPr>
                <m:nor/>
                <m:sty m:val="p"/>
              </m:rPr>
              <m:t>Var</m:t>
            </m:r>
          </m:e>
        </m:acc>
        <m:d>
          <m:dPr>
            <m:begChr m:val="("/>
            <m:sepChr m:val=""/>
            <m:endChr m:val=")"/>
            <m:grow/>
          </m:dPr>
          <m:e>
            <m:acc>
              <m:accPr>
                <m:chr m:val="̂"/>
              </m:accPr>
              <m:e>
                <m:r>
                  <m:t>θ</m:t>
                </m:r>
              </m:e>
            </m:acc>
          </m:e>
        </m:d>
      </m:oMath>
    </w:p>
    <w:p>
      <w:pPr>
        <w:pStyle w:val="Compact"/>
        <w:numPr>
          <w:ilvl w:val="0"/>
          <w:numId w:val="1004"/>
        </w:numPr>
      </w:pPr>
      <w:r>
        <w:t xml:space="preserve">Provide a 95% Wald confidence interval for</w:t>
      </w:r>
      <w:r>
        <w:t xml:space="preserve"> </w:t>
      </w:r>
      <m:oMath>
        <m:r>
          <m:t>θ</m:t>
        </m:r>
      </m:oMath>
    </w:p>
    <w:p>
      <w:pPr>
        <w:pStyle w:val="Compact"/>
        <w:numPr>
          <w:ilvl w:val="0"/>
          <w:numId w:val="1004"/>
        </w:numPr>
      </w:pPr>
      <w:r>
        <w:t xml:space="preserve">Write an interpretation of this confidence interval. What problem does this reveal about the Wald confidence interval?</w:t>
      </w:r>
    </w:p>
    <w:p>
      <w:pPr>
        <w:pStyle w:val="Compact"/>
        <w:numPr>
          <w:ilvl w:val="0"/>
          <w:numId w:val="1004"/>
        </w:numPr>
      </w:pPr>
      <w:r>
        <w:t xml:space="preserve">Compute a 95% Wilson confidence interval for</w:t>
      </w:r>
      <w:r>
        <w:t xml:space="preserve"> </w:t>
      </w:r>
      <m:oMath>
        <m:r>
          <m:t>θ</m:t>
        </m:r>
      </m:oMath>
      <w:r>
        <w:t xml:space="preserve">. Documentation for this can be found</w:t>
      </w:r>
      <w:r>
        <w:t xml:space="preserve"> </w:t>
      </w:r>
      <w:hyperlink r:id="rId22">
        <w:r>
          <w:rPr>
            <w:rStyle w:val="Hyperlink"/>
          </w:rPr>
          <w:t xml:space="preserve">here</w:t>
        </w:r>
      </w:hyperlink>
      <w:r>
        <w:t xml:space="preserve">.</w:t>
      </w:r>
      <w:r>
        <w:t xml:space="preserve"> </w:t>
      </w:r>
      <w:r>
        <w:rPr>
          <w:i/>
          <w:iCs/>
        </w:rPr>
        <w:t xml:space="preserve">Hint: you will need the</w:t>
      </w:r>
      <w:r>
        <w:rPr>
          <w:i/>
          <w:iCs/>
        </w:rPr>
        <w:t xml:space="preserve"> </w:t>
      </w:r>
      <w:r>
        <w:rPr>
          <w:rStyle w:val="VerbatimChar"/>
          <w:i/>
          <w:iCs/>
        </w:rPr>
        <w:t xml:space="preserve">fastR2</w:t>
      </w:r>
      <w:r>
        <w:rPr>
          <w:i/>
          <w:iCs/>
        </w:rPr>
        <w:t xml:space="preserve"> </w:t>
      </w:r>
      <w:r>
        <w:rPr>
          <w:i/>
          <w:iCs/>
        </w:rPr>
        <w:t xml:space="preserve">package.</w:t>
      </w:r>
    </w:p>
    <w:p>
      <w:pPr>
        <w:numPr>
          <w:ilvl w:val="0"/>
          <w:numId w:val="1005"/>
        </w:numPr>
      </w:pPr>
      <w:r>
        <w:t xml:space="preserve">Refer to slides 13 and 14 in</w:t>
      </w:r>
      <w:r>
        <w:t xml:space="preserve"> </w:t>
      </w:r>
      <w:hyperlink r:id="rId23">
        <w:r>
          <w:rPr>
            <w:rStyle w:val="Hyperlink"/>
          </w:rPr>
          <w:t xml:space="preserve">lecture 1</w:t>
        </w:r>
      </w:hyperlink>
      <w:r>
        <w:t xml:space="preserve">. Write a one to two sentence answer for how a researcher would try to answer each question.</w:t>
      </w:r>
    </w:p>
    <w:p>
      <w:pPr>
        <w:numPr>
          <w:ilvl w:val="0"/>
          <w:numId w:val="1005"/>
        </w:numPr>
      </w:pPr>
      <w:r>
        <w:t xml:space="preserve">What is your math background? What is your programming background?</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3" Target="../lectures/lecture-01.qmd" TargetMode="External" /><Relationship Type="http://schemas.openxmlformats.org/officeDocument/2006/relationships/hyperlink" Id="rId20" Target="https://libguides.gwu.edu/c.php?g=258781&amp;p=1728369" TargetMode="External" /><Relationship Type="http://schemas.openxmlformats.org/officeDocument/2006/relationships/hyperlink" Id="rId22" Target="https://rpruim.github.io/fastR2/reference/wilson.ci.html"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2025-10-15T19:33:56Z</dcterms:created>
  <dcterms:modified xsi:type="dcterms:W3CDTF">2025-10-15T19:33:56Z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