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 12,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r>
          <m:t>12</m:t>
        </m:r>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A</m:t>
        </m:r>
      </m:oMath>
      <w:r>
        <w:t xml:space="preserve">. Assume that</w:t>
      </w:r>
      <w:r>
        <w:t xml:space="preserve"> </w:t>
      </w:r>
      <m:oMath>
        <m:r>
          <m:t>A</m:t>
        </m:r>
      </m:oMath>
      <w:r>
        <w:t xml:space="preserve"> </w:t>
      </w:r>
      <w:r>
        <w:t xml:space="preserve">is binomially distributed with parameter</w:t>
      </w:r>
      <w:r>
        <w:t xml:space="preserve"> </w:t>
      </w:r>
      <m:oMath>
        <m:r>
          <m:t>θ</m:t>
        </m:r>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2025-08-26T18:03:28Z</dcterms:created>
  <dcterms:modified xsi:type="dcterms:W3CDTF">2025-08-26T18:03:28Z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