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01</w:t>
      </w:r>
    </w:p>
    <w:p>
      <w:pPr>
        <w:pStyle w:val="Subtitle"/>
      </w:pPr>
      <w:r>
        <w:t xml:space="preserve">PUBH 8878</w:t>
      </w:r>
    </w:p>
    <w:p>
      <w:pPr>
        <w:numPr>
          <w:ilvl w:val="0"/>
          <w:numId w:val="1001"/>
        </w:numPr>
      </w:pPr>
      <w:r>
        <w:t xml:space="preserve">Make a Zotero account using the guide</w:t>
      </w:r>
      <w:r>
        <w:t xml:space="preserve"> </w:t>
      </w:r>
      <w:hyperlink r:id="rId20">
        <w:r>
          <w:rPr>
            <w:rStyle w:val="Hyperlink"/>
          </w:rPr>
          <w:t xml:space="preserve">here</w:t>
        </w:r>
      </w:hyperlink>
      <w:r>
        <w:t xml:space="preserve">. Make sure you use your GW email address, as this will provide unlimited cloud storage for PDFs. Once you have created your account, email</w:t>
      </w:r>
      <w:r>
        <w:t xml:space="preserve"> </w:t>
      </w:r>
      <w:hyperlink r:id="rId21">
        <w:r>
          <w:rPr>
            <w:rStyle w:val="Hyperlink"/>
          </w:rPr>
          <w:t xml:space="preserve">chiraaggohel@gwu.edu</w:t>
        </w:r>
      </w:hyperlink>
      <w:r>
        <w:t xml:space="preserve"> </w:t>
      </w:r>
      <w:r>
        <w:t xml:space="preserve">your username.</w:t>
      </w:r>
    </w:p>
    <w:p>
      <w:pPr>
        <w:numPr>
          <w:ilvl w:val="0"/>
          <w:numId w:val="1001"/>
        </w:numPr>
      </w:pPr>
      <w:r>
        <w:t xml:space="preserve">(Laird, 2.4) How many genotypes are possible with a 3-allele marker? With K alleles?</w:t>
      </w:r>
    </w:p>
    <w:p>
      <w:pPr>
        <w:numPr>
          <w:ilvl w:val="0"/>
          <w:numId w:val="1001"/>
        </w:numPr>
      </w:pPr>
      <w:r>
        <w:t xml:space="preserve">(Laird, 2.6) Consider a recessive Mendelian disease, where in the population,</w:t>
      </w:r>
      <w:r>
        <w:t xml:space="preserve"> </w:t>
      </w:r>
      <m:oMath>
        <m:r>
          <m:t>P</m:t>
        </m:r>
        <m:d>
          <m:dPr>
            <m:begChr m:val="("/>
            <m:sepChr m:val=""/>
            <m:endChr m:val=")"/>
            <m:grow/>
          </m:dPr>
          <m:e>
            <m:r>
              <m:rPr>
                <m:nor/>
                <m:sty m:val="p"/>
              </m:rPr>
              <m:t>an individual has 2 disease variants</m:t>
            </m:r>
          </m:e>
        </m:d>
        <m:r>
          <m:rPr>
            <m:sty m:val="p"/>
          </m:rPr>
          <m:t>=</m:t>
        </m:r>
        <m:r>
          <m:t>0.000001</m:t>
        </m:r>
      </m:oMath>
      <w:r>
        <w:t xml:space="preserve">.</w:t>
      </w:r>
    </w:p>
    <w:p>
      <w:pPr>
        <w:numPr>
          <w:ilvl w:val="1"/>
          <w:numId w:val="1002"/>
        </w:numPr>
      </w:pPr>
      <w:r>
        <w:t xml:space="preserve">What is the probability that a randomly selected person is affected? Suppose that the randomly selected person is affected. What does that imply about the probability that their sibling is also affected (you can assume that having either one or two parents with two variants is so rare that you can ignore them)?</w:t>
      </w:r>
    </w:p>
    <w:p>
      <w:pPr>
        <w:numPr>
          <w:ilvl w:val="1"/>
          <w:numId w:val="1002"/>
        </w:numPr>
      </w:pPr>
      <w:r>
        <w:t xml:space="preserve">Now answer both of these questions assuming the penetrance is only</w:t>
      </w:r>
      <w:r>
        <w:t xml:space="preserve"> </w:t>
      </w:r>
      <m:oMath>
        <m:f>
          <m:fPr>
            <m:type m:val="bar"/>
          </m:fPr>
          <m:num>
            <m:r>
              <m:t>1</m:t>
            </m:r>
          </m:num>
          <m:den>
            <m:r>
              <m:t>2</m:t>
            </m:r>
          </m:den>
        </m:f>
      </m:oMath>
      <w:r>
        <w:t xml:space="preserve">, i.e.,</w:t>
      </w:r>
      <w:r>
        <w:t xml:space="preserve"> </w:t>
      </w:r>
      <m:oMath>
        <m:r>
          <m:t>P</m:t>
        </m:r>
        <m:d>
          <m:dPr>
            <m:begChr m:val="("/>
            <m:sepChr m:val=""/>
            <m:endChr m:val=")"/>
            <m:grow/>
          </m:dPr>
          <m:e>
            <m:r>
              <m:rPr>
                <m:nor/>
                <m:sty m:val="p"/>
              </m:rPr>
              <m:t>disease</m:t>
            </m:r>
            <m:r>
              <m:rPr>
                <m:sty m:val="p"/>
              </m:rPr>
              <m:t>|</m:t>
            </m:r>
            <m:r>
              <m:t>2</m:t>
            </m:r>
            <m:r>
              <m:rPr>
                <m:nor/>
                <m:sty m:val="p"/>
              </m:rPr>
              <m:t> variants</m:t>
            </m:r>
          </m:e>
        </m:d>
        <m:r>
          <m:rPr>
            <m:sty m:val="p"/>
          </m:rPr>
          <m:t>=</m:t>
        </m:r>
        <m:f>
          <m:fPr>
            <m:type m:val="bar"/>
          </m:fPr>
          <m:num>
            <m:r>
              <m:t>1</m:t>
            </m:r>
          </m:num>
          <m:den>
            <m:r>
              <m:t>2</m:t>
            </m:r>
          </m:den>
        </m:f>
      </m:oMath>
      <w:r>
        <w:t xml:space="preserve">, but the phenocopy rate is still zero.</w:t>
      </w:r>
    </w:p>
    <w:p>
      <w:pPr>
        <w:numPr>
          <w:ilvl w:val="0"/>
          <w:numId w:val="1001"/>
        </w:numPr>
      </w:pPr>
      <w:r>
        <w:t xml:space="preserve">Consider a sample size of</w:t>
      </w:r>
      <w:r>
        <w:t xml:space="preserve"> </w:t>
      </w:r>
      <m:oMath>
        <m:r>
          <m:t>n</m:t>
        </m:r>
      </m:oMath>
      <w:r>
        <w:t xml:space="preserve"> </w:t>
      </w:r>
      <w:r>
        <w:t xml:space="preserve">of unrelated haploid individuals is obtained from some population with the objective of estimating allele frequency at a biallelic locus. The sample contains</w:t>
      </w:r>
      <w:r>
        <w:t xml:space="preserve"> </w:t>
      </w:r>
      <m:oMath>
        <m:r>
          <m:t>x</m:t>
        </m:r>
      </m:oMath>
      <w:r>
        <w:t xml:space="preserve"> </w:t>
      </w:r>
      <w:r>
        <w:t xml:space="preserve">copies of</w:t>
      </w:r>
      <w:r>
        <w:t xml:space="preserve"> </w:t>
      </w:r>
      <m:oMath>
        <m:r>
          <m:t>A</m:t>
        </m:r>
      </m:oMath>
      <w:r>
        <w:t xml:space="preserve">, and</w:t>
      </w:r>
      <w:r>
        <w:t xml:space="preserve"> </w:t>
      </w:r>
      <m:oMath>
        <m:r>
          <m:t>n</m:t>
        </m:r>
        <m:r>
          <m:rPr>
            <m:sty m:val="p"/>
          </m:rPr>
          <m:t>−</m:t>
        </m:r>
        <m:r>
          <m:t>x</m:t>
        </m:r>
      </m:oMath>
      <w:r>
        <w:t xml:space="preserve"> </w:t>
      </w:r>
      <w:r>
        <w:t xml:space="preserve">copies of</w:t>
      </w:r>
      <w:r>
        <w:t xml:space="preserve"> </w:t>
      </w:r>
      <m:oMath>
        <m:r>
          <m:t>a</m:t>
        </m:r>
      </m:oMath>
      <w:r>
        <w:t xml:space="preserve">.</w:t>
      </w:r>
    </w:p>
    <w:p>
      <w:pPr>
        <w:pStyle w:val="Compact"/>
        <w:numPr>
          <w:ilvl w:val="1"/>
          <w:numId w:val="1003"/>
        </w:numPr>
      </w:pPr>
      <w:r>
        <w:t xml:space="preserve">Plot the probability distribution of</w:t>
      </w:r>
      <w:r>
        <w:t xml:space="preserve"> </w:t>
      </w:r>
      <m:oMath>
        <m:r>
          <m:t>X</m:t>
        </m:r>
      </m:oMath>
      <w:r>
        <w:t xml:space="preserve"> </w:t>
      </w:r>
      <w:r>
        <w:t xml:space="preserve">given</w:t>
      </w:r>
      <w:r>
        <w:t xml:space="preserve"> </w:t>
      </w:r>
      <m:oMath>
        <m:r>
          <m:t>n</m:t>
        </m:r>
        <m:r>
          <m:rPr>
            <m:sty m:val="p"/>
          </m:rPr>
          <m:t>=</m:t>
        </m:r>
        <m:r>
          <m:t>30</m:t>
        </m:r>
      </m:oMath>
      <w:r>
        <w:t xml:space="preserve">, and</w:t>
      </w:r>
      <w:r>
        <w:t xml:space="preserve"> </w:t>
      </w:r>
      <m:oMath>
        <m:r>
          <m:t>θ</m:t>
        </m:r>
        <m:r>
          <m:rPr>
            <m:sty m:val="p"/>
          </m:rPr>
          <m:t>=</m:t>
        </m:r>
        <m:r>
          <m:t>.1</m:t>
        </m:r>
      </m:oMath>
      <w:r>
        <w:t xml:space="preserve">. Plot the probability distribution of</w:t>
      </w:r>
      <w:r>
        <w:t xml:space="preserve"> </w:t>
      </w:r>
      <m:oMath>
        <m:r>
          <m:t>X</m:t>
        </m:r>
      </m:oMath>
      <w:r>
        <w:t xml:space="preserve"> </w:t>
      </w:r>
      <w:r>
        <w:t xml:space="preserve">given</w:t>
      </w:r>
      <w:r>
        <w:t xml:space="preserve"> </w:t>
      </w:r>
      <m:oMath>
        <m:r>
          <m:t>n</m:t>
        </m:r>
        <m:r>
          <m:rPr>
            <m:sty m:val="p"/>
          </m:rPr>
          <m:t>=</m:t>
        </m:r>
        <m:r>
          <m:t>1000</m:t>
        </m:r>
      </m:oMath>
      <w:r>
        <w:t xml:space="preserve">, and</w:t>
      </w:r>
      <w:r>
        <w:t xml:space="preserve"> </w:t>
      </w:r>
      <m:oMath>
        <m:r>
          <m:t>θ</m:t>
        </m:r>
        <m:r>
          <m:rPr>
            <m:sty m:val="p"/>
          </m:rPr>
          <m:t>=</m:t>
        </m:r>
        <m:r>
          <m:t>.1</m:t>
        </m:r>
      </m:oMath>
      <w:r>
        <w:t xml:space="preserve">.</w:t>
      </w:r>
    </w:p>
    <w:p>
      <w:pPr>
        <w:pStyle w:val="Compact"/>
        <w:numPr>
          <w:ilvl w:val="1"/>
          <w:numId w:val="1003"/>
        </w:numPr>
      </w:pPr>
      <w:r>
        <w:t xml:space="preserve">Lets say we observed</w:t>
      </w:r>
      <w:r>
        <w:t xml:space="preserve"> </w:t>
      </w:r>
      <m:oMath>
        <m:r>
          <m:t>30</m:t>
        </m:r>
      </m:oMath>
      <w:r>
        <w:t xml:space="preserve"> </w:t>
      </w:r>
      <w:r>
        <w:t xml:space="preserve">samples, with</w:t>
      </w:r>
      <w:r>
        <w:t xml:space="preserve"> </w:t>
      </w:r>
      <m:oMath>
        <m:r>
          <m:t>10</m:t>
        </m:r>
      </m:oMath>
      <w:r>
        <w:t xml:space="preserve"> </w:t>
      </w:r>
      <w:r>
        <w:t xml:space="preserve">copies of allele</w:t>
      </w:r>
      <w:r>
        <w:t xml:space="preserve"> </w:t>
      </w:r>
      <m:oMath>
        <m:r>
          <m:t>A</m:t>
        </m:r>
      </m:oMath>
      <w:r>
        <w:t xml:space="preserve">. Plot the likelihood function for</w:t>
      </w:r>
      <w:r>
        <w:t xml:space="preserve"> </w:t>
      </w:r>
      <m:oMath>
        <m:r>
          <m:t>θ</m:t>
        </m:r>
      </m:oMath>
    </w:p>
    <w:p>
      <w:pPr>
        <w:pStyle w:val="Compact"/>
        <w:numPr>
          <w:ilvl w:val="1"/>
          <w:numId w:val="1003"/>
        </w:numPr>
      </w:pPr>
      <w:r>
        <w:t xml:space="preserve">What is the MLE of</w:t>
      </w:r>
      <w:r>
        <w:t xml:space="preserve"> </w:t>
      </w:r>
      <m:oMath>
        <m:r>
          <m:t>θ</m:t>
        </m:r>
      </m:oMath>
      <w:r>
        <w:t xml:space="preserve">?</w:t>
      </w:r>
    </w:p>
    <w:p>
      <w:pPr>
        <w:pStyle w:val="Compact"/>
        <w:numPr>
          <w:ilvl w:val="1"/>
          <w:numId w:val="1003"/>
        </w:numPr>
      </w:pPr>
      <w:r>
        <w:t xml:space="preserve">Let’s say</w:t>
      </w:r>
      <w:r>
        <w:t xml:space="preserve"> </w:t>
      </w:r>
      <m:oMath>
        <m:r>
          <m:t>n</m:t>
        </m:r>
        <m:r>
          <m:rPr>
            <m:sty m:val="p"/>
          </m:rPr>
          <m:t>=</m:t>
        </m:r>
        <m:r>
          <m:t>1000</m:t>
        </m:r>
      </m:oMath>
      <w:r>
        <w:t xml:space="preserve">, and</w:t>
      </w:r>
      <w:r>
        <w:t xml:space="preserve"> </w:t>
      </w:r>
      <m:oMath>
        <m:r>
          <m:t>x</m:t>
        </m:r>
        <m:r>
          <m:rPr>
            <m:sty m:val="p"/>
          </m:rPr>
          <m:t>=</m:t>
        </m:r>
        <m:r>
          <m:t>100</m:t>
        </m:r>
      </m:oMath>
      <w:r>
        <w:t xml:space="preserve">. What is the sampling variance of</w:t>
      </w:r>
      <w:r>
        <w:t xml:space="preserve"> </w:t>
      </w:r>
      <m:oMath>
        <m:acc>
          <m:accPr>
            <m:chr m:val="̂"/>
          </m:accPr>
          <m:e>
            <m:r>
              <m:t>θ</m:t>
            </m:r>
          </m:e>
        </m:acc>
      </m:oMath>
      <w:r>
        <w:t xml:space="preserve">?</w:t>
      </w:r>
    </w:p>
    <w:p>
      <w:pPr>
        <w:pStyle w:val="Compact"/>
        <w:numPr>
          <w:ilvl w:val="1"/>
          <w:numId w:val="1003"/>
        </w:numPr>
      </w:pPr>
      <w:r>
        <w:t xml:space="preserve">Let’s say</w:t>
      </w:r>
      <w:r>
        <w:t xml:space="preserve"> </w:t>
      </w:r>
      <m:oMath>
        <m:r>
          <m:t>n</m:t>
        </m:r>
        <m:r>
          <m:rPr>
            <m:sty m:val="p"/>
          </m:rPr>
          <m:t>=</m:t>
        </m:r>
        <m:r>
          <m:t>100</m:t>
        </m:r>
      </m:oMath>
      <w:r>
        <w:t xml:space="preserve">, and</w:t>
      </w:r>
      <w:r>
        <w:t xml:space="preserve"> </w:t>
      </w:r>
      <m:oMath>
        <m:r>
          <m:t>x</m:t>
        </m:r>
        <m:r>
          <m:rPr>
            <m:sty m:val="p"/>
          </m:rPr>
          <m:t>=</m:t>
        </m:r>
        <m:r>
          <m:t>10</m:t>
        </m:r>
      </m:oMath>
      <w:r>
        <w:t xml:space="preserve">. What is the sampling variance of</w:t>
      </w:r>
      <w:r>
        <w:t xml:space="preserve"> </w:t>
      </w:r>
      <m:oMath>
        <m:acc>
          <m:accPr>
            <m:chr m:val="̂"/>
          </m:accPr>
          <m:e>
            <m:r>
              <m:t>θ</m:t>
            </m:r>
          </m:e>
        </m:acc>
      </m:oMath>
      <w:r>
        <w:t xml:space="preserve">? Why is this different than the result above?</w:t>
      </w:r>
    </w:p>
    <w:p>
      <w:pPr>
        <w:numPr>
          <w:ilvl w:val="0"/>
          <w:numId w:val="1001"/>
        </w:numPr>
      </w:pPr>
      <w:r>
        <w:t xml:space="preserve">Refer to equations (1.3) and (1.5) in Sorensen. Say you observe</w:t>
      </w:r>
      <w:r>
        <w:t xml:space="preserve"> </w:t>
      </w:r>
      <m:oMath>
        <m:r>
          <m:t>8</m:t>
        </m:r>
      </m:oMath>
      <w:r>
        <w:t xml:space="preserve"> </w:t>
      </w:r>
      <w:r>
        <w:t xml:space="preserve">individuals, and</w:t>
      </w:r>
      <w:r>
        <w:t xml:space="preserve"> </w:t>
      </w:r>
      <m:oMath>
        <m:r>
          <m:t>1</m:t>
        </m:r>
      </m:oMath>
      <w:r>
        <w:t xml:space="preserve"> </w:t>
      </w:r>
      <w:r>
        <w:t xml:space="preserve">copies of genotype</w:t>
      </w:r>
      <w:r>
        <w:t xml:space="preserve"> </w:t>
      </w:r>
      <m:oMath>
        <m:r>
          <m:t>X</m:t>
        </m:r>
      </m:oMath>
      <w:r>
        <w:t xml:space="preserve">. Assume that</w:t>
      </w:r>
      <w:r>
        <w:t xml:space="preserve"> </w:t>
      </w:r>
      <m:oMath>
        <m:r>
          <m:t>X</m:t>
        </m:r>
        <m:r>
          <m:rPr>
            <m:sty m:val="p"/>
          </m:rPr>
          <m:t>∼</m:t>
        </m:r>
        <m:r>
          <m:rPr>
            <m:nor/>
            <m:sty m:val="p"/>
            <m:scr m:val="sans-serif"/>
          </m:rPr>
          <m:t>Binom</m:t>
        </m:r>
        <m:d>
          <m:dPr>
            <m:begChr m:val="("/>
            <m:sepChr m:val=""/>
            <m:endChr m:val=")"/>
            <m:grow/>
          </m:dPr>
          <m:e>
            <m:r>
              <m:t>n</m:t>
            </m:r>
            <m:r>
              <m:rPr>
                <m:sty m:val="p"/>
              </m:rPr>
              <m:t>,</m:t>
            </m:r>
            <m:r>
              <m:t>θ</m:t>
            </m:r>
          </m:e>
        </m:d>
      </m:oMath>
      <w:r>
        <w:t xml:space="preserve">.</w:t>
      </w:r>
    </w:p>
    <w:p>
      <w:pPr>
        <w:pStyle w:val="Compact"/>
        <w:numPr>
          <w:ilvl w:val="0"/>
          <w:numId w:val="1004"/>
        </w:numPr>
      </w:pPr>
      <w:r>
        <w:t xml:space="preserve">Compute</w:t>
      </w:r>
      <w:r>
        <w:t xml:space="preserve"> </w:t>
      </w:r>
      <m:oMath>
        <m:acc>
          <m:accPr>
            <m:chr m:val="̂"/>
          </m:accPr>
          <m:e>
            <m:r>
              <m:t>θ</m:t>
            </m:r>
          </m:e>
        </m:acc>
      </m:oMath>
    </w:p>
    <w:p>
      <w:pPr>
        <w:pStyle w:val="Compact"/>
        <w:numPr>
          <w:ilvl w:val="0"/>
          <w:numId w:val="1004"/>
        </w:numPr>
      </w:pPr>
      <w:r>
        <w:t xml:space="preserve">Compute</w:t>
      </w:r>
      <w:r>
        <w:t xml:space="preserve"> </w:t>
      </w:r>
      <m:oMath>
        <m:acc>
          <m:accPr>
            <m:chr m:val="̂"/>
          </m:accPr>
          <m:e>
            <m:r>
              <m:rPr>
                <m:nor/>
                <m:sty m:val="p"/>
              </m:rPr>
              <m:t>Var</m:t>
            </m:r>
          </m:e>
        </m:acc>
        <m:d>
          <m:dPr>
            <m:begChr m:val="("/>
            <m:sepChr m:val=""/>
            <m:endChr m:val=")"/>
            <m:grow/>
          </m:dPr>
          <m:e>
            <m:acc>
              <m:accPr>
                <m:chr m:val="̂"/>
              </m:accPr>
              <m:e>
                <m:r>
                  <m:t>θ</m:t>
                </m:r>
              </m:e>
            </m:acc>
          </m:e>
        </m:d>
      </m:oMath>
    </w:p>
    <w:p>
      <w:pPr>
        <w:pStyle w:val="Compact"/>
        <w:numPr>
          <w:ilvl w:val="0"/>
          <w:numId w:val="1004"/>
        </w:numPr>
      </w:pPr>
      <w:r>
        <w:t xml:space="preserve">Provide a 95% Wald confidence interval for</w:t>
      </w:r>
      <w:r>
        <w:t xml:space="preserve"> </w:t>
      </w:r>
      <m:oMath>
        <m:r>
          <m:t>θ</m:t>
        </m:r>
      </m:oMath>
    </w:p>
    <w:p>
      <w:pPr>
        <w:pStyle w:val="Compact"/>
        <w:numPr>
          <w:ilvl w:val="0"/>
          <w:numId w:val="1004"/>
        </w:numPr>
      </w:pPr>
      <w:r>
        <w:t xml:space="preserve">Write an interpretation of this confidence interval. What problem does this reveal about the Wald confidence interval?</w:t>
      </w:r>
    </w:p>
    <w:p>
      <w:pPr>
        <w:pStyle w:val="Compact"/>
        <w:numPr>
          <w:ilvl w:val="0"/>
          <w:numId w:val="1004"/>
        </w:numPr>
      </w:pPr>
      <w:r>
        <w:t xml:space="preserve">Compute a 95% Wilson confidence interval for</w:t>
      </w:r>
      <w:r>
        <w:t xml:space="preserve"> </w:t>
      </w:r>
      <m:oMath>
        <m:r>
          <m:t>θ</m:t>
        </m:r>
      </m:oMath>
      <w:r>
        <w:t xml:space="preserve">. Documentation for this can be found</w:t>
      </w:r>
      <w:r>
        <w:t xml:space="preserve"> </w:t>
      </w:r>
      <w:hyperlink r:id="rId22">
        <w:r>
          <w:rPr>
            <w:rStyle w:val="Hyperlink"/>
          </w:rPr>
          <w:t xml:space="preserve">here</w:t>
        </w:r>
      </w:hyperlink>
      <w:r>
        <w:t xml:space="preserve">.</w:t>
      </w:r>
      <w:r>
        <w:t xml:space="preserve"> </w:t>
      </w:r>
      <w:r>
        <w:rPr>
          <w:i/>
          <w:iCs/>
        </w:rPr>
        <w:t xml:space="preserve">Hint: you will need the</w:t>
      </w:r>
      <w:r>
        <w:rPr>
          <w:i/>
          <w:iCs/>
        </w:rPr>
        <w:t xml:space="preserve"> </w:t>
      </w:r>
      <w:r>
        <w:rPr>
          <w:rStyle w:val="VerbatimChar"/>
          <w:i/>
          <w:iCs/>
        </w:rPr>
        <w:t xml:space="preserve">fastR2</w:t>
      </w:r>
      <w:r>
        <w:rPr>
          <w:i/>
          <w:iCs/>
        </w:rPr>
        <w:t xml:space="preserve"> </w:t>
      </w:r>
      <w:r>
        <w:rPr>
          <w:i/>
          <w:iCs/>
        </w:rPr>
        <w:t xml:space="preserve">package.</w:t>
      </w:r>
    </w:p>
    <w:p>
      <w:pPr>
        <w:numPr>
          <w:ilvl w:val="0"/>
          <w:numId w:val="1005"/>
        </w:numPr>
      </w:pPr>
      <w:r>
        <w:t xml:space="preserve">Refer to slides 13 and 14 in</w:t>
      </w:r>
      <w:r>
        <w:t xml:space="preserve"> </w:t>
      </w:r>
      <w:hyperlink r:id="rId23">
        <w:r>
          <w:rPr>
            <w:rStyle w:val="Hyperlink"/>
          </w:rPr>
          <w:t xml:space="preserve">lecture 1</w:t>
        </w:r>
      </w:hyperlink>
      <w:r>
        <w:t xml:space="preserve">. Write a one to two sentence answer for how a researcher would try to answer each question.</w:t>
      </w:r>
    </w:p>
    <w:p>
      <w:pPr>
        <w:numPr>
          <w:ilvl w:val="0"/>
          <w:numId w:val="1005"/>
        </w:numPr>
      </w:pPr>
      <w:r>
        <w:t xml:space="preserve">What is your math background? What is your programming background?</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_rels/footnotes.xml.rels><?xml version="1.0" encoding="UTF-8"?><Relationships xmlns="http://schemas.openxmlformats.org/package/2006/relationships"><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creator/>
  <cp:keywords/>
  <dcterms:created xsi:type="dcterms:W3CDTF">2025-09-24T18:20:57Z</dcterms:created>
  <dcterms:modified xsi:type="dcterms:W3CDTF">2025-09-24T18:20:57Z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PUBH 8878</vt:lpwstr>
  </property>
  <property fmtid="{D5CDD505-2E9C-101B-9397-08002B2CF9AE}" pid="8" name="toc-title">
    <vt:lpwstr>Table of contents</vt:lpwstr>
  </property>
</Properties>
</file>