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 02</w:t>
      </w:r>
    </w:p>
    <w:p>
      <w:pPr>
        <w:pStyle w:val="Subtitle"/>
      </w:pPr>
      <w:r>
        <w:t xml:space="preserve">PUBH 8878: Heritability, Segregation, and Gene Mapping Theory</w:t>
      </w:r>
    </w:p>
    <w:p>
      <w:pPr>
        <w:pStyle w:val="FirstParagraph"/>
      </w:pPr>
      <w:r>
        <w:t xml:space="preserve">Due before class on</w:t>
      </w:r>
      <w:r>
        <w:t xml:space="preserve"> </w:t>
      </w:r>
      <w:r>
        <w:rPr>
          <w:b/>
          <w:bCs/>
        </w:rPr>
        <w:t xml:space="preserve">Wednesday, September 10th</w:t>
      </w:r>
      <w:r>
        <w:t xml:space="preserve">.</w:t>
      </w:r>
    </w:p>
    <w:p>
      <w:pPr>
        <w:pStyle w:val="BodyText"/>
      </w:pPr>
      <w:r>
        <w:rPr>
          <w:b/>
          <w:bCs/>
        </w:rPr>
        <w:t xml:space="preserve">Requirements:</w:t>
      </w:r>
    </w:p>
    <w:p>
      <w:pPr>
        <w:pStyle w:val="Compact"/>
        <w:numPr>
          <w:ilvl w:val="0"/>
          <w:numId w:val="1001"/>
        </w:numPr>
      </w:pPr>
      <w:r>
        <w:t xml:space="preserve">Show all mathematical work</w:t>
      </w:r>
    </w:p>
    <w:p>
      <w:pPr>
        <w:pStyle w:val="Compact"/>
        <w:numPr>
          <w:ilvl w:val="0"/>
          <w:numId w:val="1001"/>
        </w:numPr>
      </w:pPr>
      <w:r>
        <w:t xml:space="preserve">Submit well-documented R code with clear comments</w:t>
      </w:r>
    </w:p>
    <w:p>
      <w:pPr>
        <w:pStyle w:val="Compact"/>
        <w:numPr>
          <w:ilvl w:val="0"/>
          <w:numId w:val="1001"/>
        </w:numPr>
      </w:pPr>
      <w:r>
        <w:t xml:space="preserve">Interpret results in biological context</w:t>
      </w:r>
    </w:p>
    <w:p>
      <w:pPr>
        <w:pStyle w:val="Compact"/>
        <w:numPr>
          <w:ilvl w:val="0"/>
          <w:numId w:val="1001"/>
        </w:numPr>
      </w:pPr>
      <w:r>
        <w:t xml:space="preserve">Submit</w:t>
      </w:r>
      <w:r>
        <w:t xml:space="preserve"> </w:t>
      </w:r>
      <w:r>
        <w:rPr>
          <w:i/>
          <w:iCs/>
        </w:rPr>
        <w:t xml:space="preserve">pdf</w:t>
      </w:r>
      <w:r>
        <w:t xml:space="preserve"> </w:t>
      </w:r>
      <w:r>
        <w:t xml:space="preserve">rendered output, not the source</w:t>
      </w:r>
      <w:r>
        <w:t xml:space="preserve"> </w:t>
      </w:r>
      <w:r>
        <w:rPr>
          <w:rStyle w:val="VerbatimChar"/>
        </w:rPr>
        <w:t xml:space="preserve">.qmd</w:t>
      </w:r>
      <w:r>
        <w:t xml:space="preserve"> </w:t>
      </w:r>
      <w:r>
        <w:t xml:space="preserve">file</w:t>
      </w:r>
    </w:p>
    <w:bookmarkStart w:id="20" w:name="X3f94e9679afea2fcf52c3f6db7175d9d9ebf791"/>
    <w:p>
      <w:pPr>
        <w:pStyle w:val="Heading2"/>
      </w:pPr>
      <w:r>
        <w:t xml:space="preserve">Problem 1: Missing Heritability and Rare Variants (10 points)</w:t>
      </w:r>
    </w:p>
    <w:p>
      <w:pPr>
        <w:pStyle w:val="FirstParagraph"/>
      </w:pPr>
      <w:r>
        <w:t xml:space="preserve">Recall</w:t>
      </w:r>
      <w:r>
        <w:t xml:space="preserve"> </w:t>
      </w:r>
      <w:r>
        <w:t xml:space="preserve">(Young 2019)</w:t>
      </w:r>
      <w:r>
        <w:t xml:space="preserve">:</w:t>
      </w:r>
      <w:r>
        <w:t xml:space="preserve"> </w:t>
      </w:r>
      <w:r>
        <w:t xml:space="preserve">“The first challenge is one of precision. The information used to estimate heritability from rare variants by GREML-WGS comes from the variation in sharing of rare variants among distantly related pairs of individuals. However, distantly related individuals typically do not share any particular rare variant, so the variation in rare variant sharing is low. This means that large samples with high quality WGS data are required to obtain precise estimates, and such samples are not common yet. Based on the only existing application of GREML-WGS, a sample size of ~40,000 would produce estimates precise enough to be statistically distinguished from other heritability estimates. It is likely that this challenge will be overcome shortly, since samples of similar magnitude already exist.”</w:t>
      </w:r>
    </w:p>
    <w:p>
      <w:pPr>
        <w:pStyle w:val="Compact"/>
        <w:numPr>
          <w:ilvl w:val="0"/>
          <w:numId w:val="1002"/>
        </w:numPr>
      </w:pPr>
      <w:r>
        <w:t xml:space="preserve">Assume the probability that two distantly related individuals share a rare variant is</w:t>
      </w:r>
      <w:r>
        <w:t xml:space="preserve"> </w:t>
      </w:r>
      <m:oMath>
        <m:r>
          <m:t>p</m:t>
        </m:r>
        <m:r>
          <m:rPr>
            <m:sty m:val="p"/>
          </m:rPr>
          <m:t>=</m:t>
        </m:r>
        <m:r>
          <m:t>0.001</m:t>
        </m:r>
      </m:oMath>
      <w:r>
        <w:t xml:space="preserve">. Assume a sample size of</w:t>
      </w:r>
      <w:r>
        <w:t xml:space="preserve"> </w:t>
      </w:r>
      <m:oMath>
        <m:r>
          <m:t>n</m:t>
        </m:r>
        <m:r>
          <m:rPr>
            <m:sty m:val="p"/>
          </m:rPr>
          <m:t>=</m:t>
        </m:r>
        <m:r>
          <m:t>40</m:t>
        </m:r>
        <m:r>
          <m:rPr>
            <m:sty m:val="p"/>
          </m:rPr>
          <m:t>,</m:t>
        </m:r>
        <m:r>
          <m:t>000</m:t>
        </m:r>
      </m:oMath>
      <w:r>
        <w:t xml:space="preserve"> </w:t>
      </w:r>
      <w:r>
        <w:t xml:space="preserve">individuals.</w:t>
      </w:r>
    </w:p>
    <w:p>
      <w:pPr>
        <w:pStyle w:val="Compact"/>
        <w:numPr>
          <w:ilvl w:val="1"/>
          <w:numId w:val="1003"/>
        </w:numPr>
      </w:pPr>
      <w:r>
        <w:t xml:space="preserve">Calculate the expected number of pairs of individuals in this sample who share a rare variant. How many total pairs of individuals exist in the sample?</w:t>
      </w:r>
    </w:p>
    <w:p>
      <w:pPr>
        <w:pStyle w:val="Compact"/>
        <w:numPr>
          <w:ilvl w:val="1"/>
          <w:numId w:val="1003"/>
        </w:numPr>
      </w:pPr>
      <w:r>
        <w:t xml:space="preserve">If we estimate that rare variants contribute</w:t>
      </w:r>
      <w:r>
        <w:t xml:space="preserve"> </w:t>
      </w:r>
      <m:oMath>
        <m:sSubSup>
          <m:e>
            <m:r>
              <m:t>h</m:t>
            </m:r>
          </m:e>
          <m:sub>
            <m:r>
              <m:rPr>
                <m:nor/>
                <m:sty m:val="p"/>
              </m:rPr>
              <m:t>rare</m:t>
            </m:r>
          </m:sub>
          <m:sup>
            <m:r>
              <m:t>2</m:t>
            </m:r>
          </m:sup>
        </m:sSubSup>
        <m:r>
          <m:rPr>
            <m:sty m:val="p"/>
          </m:rPr>
          <m:t>=</m:t>
        </m:r>
        <m:r>
          <m:t>0.10</m:t>
        </m:r>
      </m:oMath>
      <w:r>
        <w:t xml:space="preserve"> </w:t>
      </w:r>
      <w:r>
        <w:t xml:space="preserve">to heritability, calculate the standard error of this estimate given the sample size. Use the formula</w:t>
      </w:r>
      <w:r>
        <w:t xml:space="preserve"> </w:t>
      </w:r>
      <m:oMath>
        <m:r>
          <m:rPr>
            <m:nor/>
            <m:sty m:val="p"/>
          </m:rPr>
          <m:t>SE</m:t>
        </m:r>
        <m:d>
          <m:dPr>
            <m:begChr m:val="("/>
            <m:sepChr m:val=""/>
            <m:endChr m:val=")"/>
            <m:grow/>
          </m:dPr>
          <m:e>
            <m:sSup>
              <m:e>
                <m:r>
                  <m:t>h</m:t>
                </m:r>
              </m:e>
              <m:sup>
                <m:r>
                  <m:t>2</m:t>
                </m:r>
              </m:sup>
            </m:sSup>
          </m:e>
        </m:d>
        <m:r>
          <m:rPr>
            <m:sty m:val="p"/>
          </m:rPr>
          <m:t>≈</m:t>
        </m:r>
        <m:f>
          <m:fPr>
            <m:type m:val="bar"/>
          </m:fPr>
          <m:num>
            <m:r>
              <m:t>2</m:t>
            </m:r>
          </m:num>
          <m:den>
            <m:rad>
              <m:radPr>
                <m:degHide m:val="on"/>
              </m:radPr>
              <m:deg/>
              <m:e>
                <m:sSub>
                  <m:e>
                    <m:r>
                      <m:t>n</m:t>
                    </m:r>
                  </m:e>
                  <m:sub>
                    <m:r>
                      <m:rPr>
                        <m:nor/>
                        <m:sty m:val="p"/>
                      </m:rPr>
                      <m:t>eff</m:t>
                    </m:r>
                  </m:sub>
                </m:sSub>
              </m:e>
            </m:rad>
          </m:den>
        </m:f>
      </m:oMath>
      <w:r>
        <w:t xml:space="preserve">, where</w:t>
      </w:r>
      <w:r>
        <w:t xml:space="preserve"> </w:t>
      </w:r>
      <m:oMath>
        <m:sSub>
          <m:e>
            <m:r>
              <m:t>n</m:t>
            </m:r>
          </m:e>
          <m:sub>
            <m:r>
              <m:rPr>
                <m:nor/>
                <m:sty m:val="p"/>
              </m:rPr>
              <m:t>eff</m:t>
            </m:r>
          </m:sub>
        </m:sSub>
      </m:oMath>
      <w:r>
        <w:t xml:space="preserve"> </w:t>
      </w:r>
      <w:r>
        <w:t xml:space="preserve">is the effective number of independent observations (approximately the number of pairs sharing rare variants).</w:t>
      </w:r>
    </w:p>
    <w:p>
      <w:pPr>
        <w:pStyle w:val="Compact"/>
        <w:numPr>
          <w:ilvl w:val="1"/>
          <w:numId w:val="1003"/>
        </w:numPr>
      </w:pPr>
      <w:r>
        <w:t xml:space="preserve">Calculate a 95% confidence interval for the heritability estimate. Does this confidence interval allow us to distinguish between</w:t>
      </w:r>
      <w:r>
        <w:t xml:space="preserve"> </w:t>
      </w:r>
      <m:oMath>
        <m:sSubSup>
          <m:e>
            <m:r>
              <m:t>h</m:t>
            </m:r>
          </m:e>
          <m:sub>
            <m:r>
              <m:rPr>
                <m:nor/>
                <m:sty m:val="p"/>
              </m:rPr>
              <m:t>rare</m:t>
            </m:r>
          </m:sub>
          <m:sup>
            <m:r>
              <m:t>2</m:t>
            </m:r>
          </m:sup>
        </m:sSubSup>
        <m:r>
          <m:rPr>
            <m:sty m:val="p"/>
          </m:rPr>
          <m:t>=</m:t>
        </m:r>
        <m:r>
          <m:t>0.10</m:t>
        </m:r>
      </m:oMath>
      <w:r>
        <w:t xml:space="preserve"> </w:t>
      </w:r>
      <w:r>
        <w:t xml:space="preserve">and</w:t>
      </w:r>
      <w:r>
        <w:t xml:space="preserve"> </w:t>
      </w:r>
      <m:oMath>
        <m:sSubSup>
          <m:e>
            <m:r>
              <m:t>h</m:t>
            </m:r>
          </m:e>
          <m:sub>
            <m:r>
              <m:rPr>
                <m:nor/>
                <m:sty m:val="p"/>
              </m:rPr>
              <m:t>common</m:t>
            </m:r>
          </m:sub>
          <m:sup>
            <m:r>
              <m:t>2</m:t>
            </m:r>
          </m:sup>
        </m:sSubSup>
        <m:r>
          <m:rPr>
            <m:sty m:val="p"/>
          </m:rPr>
          <m:t>=</m:t>
        </m:r>
        <m:r>
          <m:t>0.25</m:t>
        </m:r>
      </m:oMath>
    </w:p>
    <w:p>
      <w:pPr>
        <w:pStyle w:val="Compact"/>
        <w:numPr>
          <w:ilvl w:val="0"/>
          <w:numId w:val="1002"/>
        </w:numPr>
      </w:pPr>
      <w:r>
        <w:t xml:space="preserve">Briefly explain in 2-3 sentences how the</w:t>
      </w:r>
      <w:r>
        <w:t xml:space="preserve"> </w:t>
      </w:r>
      <w:r>
        <w:t xml:space="preserve">“missing heritability”</w:t>
      </w:r>
      <w:r>
        <w:t xml:space="preserve"> </w:t>
      </w:r>
      <w:r>
        <w:t xml:space="preserve">problem relates to rare variants, and why larger samples with whole-genome sequencing may be needed to resolve this question.</w:t>
      </w:r>
    </w:p>
    <w:bookmarkEnd w:id="20"/>
    <w:bookmarkStart w:id="21" w:name="X375c9e3562c8b5fed61c24d335e1eb196b69571"/>
    <w:p>
      <w:pPr>
        <w:pStyle w:val="Heading2"/>
      </w:pPr>
      <w:r>
        <w:t xml:space="preserve">Problem 2: Parent–offspring regression with assortative mating (14 pts)</w:t>
      </w:r>
    </w:p>
    <w:p>
      <w:pPr>
        <w:pStyle w:val="FirstParagraph"/>
      </w:pPr>
      <w:r>
        <w:t xml:space="preserve">Let</w:t>
      </w:r>
      <w:r>
        <w:t xml:space="preserve"> </w:t>
      </w:r>
      <m:oMath>
        <m:r>
          <m:t>Y</m:t>
        </m:r>
        <m:r>
          <m:rPr>
            <m:sty m:val="p"/>
          </m:rPr>
          <m:t>=</m:t>
        </m:r>
        <m:r>
          <m:t>A</m:t>
        </m:r>
        <m:r>
          <m:rPr>
            <m:sty m:val="p"/>
          </m:rPr>
          <m:t>+</m:t>
        </m:r>
        <m:r>
          <m:t>E</m:t>
        </m:r>
      </m:oMath>
      <w:r>
        <w:t xml:space="preserve"> </w:t>
      </w:r>
      <w:r>
        <w:t xml:space="preserve">with</w:t>
      </w:r>
      <w:r>
        <w:t xml:space="preserve"> </w:t>
      </w:r>
      <m:oMath>
        <m:r>
          <m:rPr>
            <m:sty m:val="p"/>
          </m:rPr>
          <m:t>Var</m:t>
        </m:r>
        <m:d>
          <m:dPr>
            <m:begChr m:val="("/>
            <m:sepChr m:val=""/>
            <m:endChr m:val=")"/>
            <m:grow/>
          </m:dPr>
          <m:e>
            <m:r>
              <m:t>A</m:t>
            </m:r>
          </m:e>
        </m:d>
        <m:r>
          <m:rPr>
            <m:sty m:val="p"/>
          </m:rPr>
          <m:t>=</m:t>
        </m:r>
        <m:sSubSup>
          <m:e>
            <m:r>
              <m:t>σ</m:t>
            </m:r>
          </m:e>
          <m:sub>
            <m:r>
              <m:t>A</m:t>
            </m:r>
          </m:sub>
          <m:sup>
            <m:r>
              <m:t>2</m:t>
            </m:r>
          </m:sup>
        </m:sSubSup>
      </m:oMath>
      <w:r>
        <w:t xml:space="preserve">,</w:t>
      </w:r>
      <w:r>
        <w:t xml:space="preserve"> </w:t>
      </w:r>
      <m:oMath>
        <m:r>
          <m:rPr>
            <m:sty m:val="p"/>
          </m:rPr>
          <m:t>Var</m:t>
        </m:r>
        <m:d>
          <m:dPr>
            <m:begChr m:val="("/>
            <m:sepChr m:val=""/>
            <m:endChr m:val=")"/>
            <m:grow/>
          </m:dPr>
          <m:e>
            <m:r>
              <m:t>E</m:t>
            </m:r>
          </m:e>
        </m:d>
        <m:r>
          <m:rPr>
            <m:sty m:val="p"/>
          </m:rPr>
          <m:t>=</m:t>
        </m:r>
        <m:sSubSup>
          <m:e>
            <m:r>
              <m:t>σ</m:t>
            </m:r>
          </m:e>
          <m:sub>
            <m:r>
              <m:t>E</m:t>
            </m:r>
          </m:sub>
          <m:sup>
            <m:r>
              <m:t>2</m:t>
            </m:r>
          </m:sup>
        </m:sSubSup>
      </m:oMath>
      <w:r>
        <w:t xml:space="preserve">, random environments, and phenotypic mate correlation</w:t>
      </w:r>
      <w:r>
        <w:t xml:space="preserve"> </w:t>
      </w:r>
      <m:oMath>
        <m:r>
          <m:rPr>
            <m:sty m:val="p"/>
          </m:rPr>
          <m:t>corr</m:t>
        </m:r>
        <m:d>
          <m:dPr>
            <m:begChr m:val="("/>
            <m:sepChr m:val=""/>
            <m:endChr m:val=")"/>
            <m:grow/>
          </m:dPr>
          <m:e>
            <m:sSub>
              <m:e>
                <m:r>
                  <m:t>Y</m:t>
                </m:r>
              </m:e>
              <m:sub>
                <m:r>
                  <m:rPr>
                    <m:nor/>
                    <m:sty m:val="p"/>
                  </m:rPr>
                  <m:t>father</m:t>
                </m:r>
              </m:sub>
            </m:sSub>
            <m:r>
              <m:rPr>
                <m:sty m:val="p"/>
              </m:rPr>
              <m:t>,</m:t>
            </m:r>
            <m:sSub>
              <m:e>
                <m:r>
                  <m:t>Y</m:t>
                </m:r>
              </m:e>
              <m:sub>
                <m:r>
                  <m:rPr>
                    <m:nor/>
                    <m:sty m:val="p"/>
                  </m:rPr>
                  <m:t>mother</m:t>
                </m:r>
              </m:sub>
            </m:sSub>
          </m:e>
        </m:d>
        <m:r>
          <m:rPr>
            <m:sty m:val="p"/>
          </m:rPr>
          <m:t>=</m:t>
        </m:r>
        <m:sSub>
          <m:e>
            <m:r>
              <m:t>r</m:t>
            </m:r>
          </m:e>
          <m:sub>
            <m:r>
              <m:t>m</m:t>
            </m:r>
          </m:sub>
        </m:sSub>
      </m:oMath>
      <w:r>
        <w:t xml:space="preserve">.</w:t>
      </w:r>
    </w:p>
    <w:p>
      <w:pPr>
        <w:pStyle w:val="Compact"/>
        <w:numPr>
          <w:ilvl w:val="0"/>
          <w:numId w:val="1004"/>
        </w:numPr>
      </w:pPr>
      <w:r>
        <w:t xml:space="preserve">Show that</w:t>
      </w:r>
      <w:r>
        <w:t xml:space="preserve"> </w:t>
      </w:r>
      <m:oMath>
        <m:r>
          <m:rPr>
            <m:sty m:val="p"/>
          </m:rPr>
          <m:t>Var</m:t>
        </m:r>
        <m:d>
          <m:dPr>
            <m:begChr m:val="("/>
            <m:sepChr m:val=""/>
            <m:endChr m:val=")"/>
            <m:grow/>
          </m:dPr>
          <m:e>
            <m:sSub>
              <m:e>
                <m:r>
                  <m:t>Y</m:t>
                </m:r>
              </m:e>
              <m:sub>
                <m:r>
                  <m:rPr>
                    <m:nor/>
                    <m:sty m:val="p"/>
                  </m:rPr>
                  <m:t>mid-parent</m:t>
                </m:r>
              </m:sub>
            </m:sSub>
          </m:e>
        </m:d>
        <m:r>
          <m:rPr>
            <m:sty m:val="p"/>
          </m:rPr>
          <m:t>=</m:t>
        </m:r>
        <m:f>
          <m:fPr>
            <m:type m:val="bar"/>
          </m:fPr>
          <m:num>
            <m:r>
              <m:t>1</m:t>
            </m:r>
          </m:num>
          <m:den>
            <m:r>
              <m:t>2</m:t>
            </m:r>
          </m:den>
        </m:f>
        <m:d>
          <m:dPr>
            <m:begChr m:val="("/>
            <m:sepChr m:val=""/>
            <m:endChr m:val=")"/>
            <m:grow/>
          </m:dPr>
          <m:e>
            <m:r>
              <m:t>1</m:t>
            </m:r>
            <m:r>
              <m:rPr>
                <m:sty m:val="p"/>
              </m:rPr>
              <m:t>+</m:t>
            </m:r>
            <m:sSub>
              <m:e>
                <m:r>
                  <m:t>r</m:t>
                </m:r>
              </m:e>
              <m:sub>
                <m:r>
                  <m:t>m</m:t>
                </m:r>
              </m:sub>
            </m:sSub>
          </m:e>
        </m:d>
        <m:r>
          <m:rPr>
            <m:sty m:val="p"/>
          </m:rPr>
          <m:t>Var</m:t>
        </m:r>
        <m:d>
          <m:dPr>
            <m:begChr m:val="("/>
            <m:sepChr m:val=""/>
            <m:endChr m:val=")"/>
            <m:grow/>
          </m:dPr>
          <m:e>
            <m:r>
              <m:t>Y</m:t>
            </m:r>
          </m:e>
        </m:d>
      </m:oMath>
      <w:r>
        <w:t xml:space="preserve">.</w:t>
      </w:r>
    </w:p>
    <w:p>
      <w:pPr>
        <w:pStyle w:val="Compact"/>
        <w:numPr>
          <w:ilvl w:val="0"/>
          <w:numId w:val="1004"/>
        </w:numPr>
      </w:pPr>
      <w:r>
        <w:t xml:space="preserve">Given the regression slope</w:t>
      </w:r>
      <w:r>
        <w:t xml:space="preserve"> </w:t>
      </w:r>
      <m:oMath>
        <m:r>
          <m:t>β</m:t>
        </m:r>
        <m:r>
          <m:rPr>
            <m:sty m:val="p"/>
          </m:rPr>
          <m:t>=</m:t>
        </m:r>
        <m:f>
          <m:fPr>
            <m:type m:val="bar"/>
          </m:fPr>
          <m:num>
            <m:r>
              <m:rPr>
                <m:sty m:val="p"/>
              </m:rPr>
              <m:t>Cov</m:t>
            </m:r>
            <m:d>
              <m:dPr>
                <m:begChr m:val="("/>
                <m:sepChr m:val=""/>
                <m:endChr m:val=")"/>
                <m:grow/>
              </m:dPr>
              <m:e>
                <m:sSub>
                  <m:e>
                    <m:r>
                      <m:t>Y</m:t>
                    </m:r>
                  </m:e>
                  <m:sub>
                    <m:r>
                      <m:t>o</m:t>
                    </m:r>
                  </m:sub>
                </m:sSub>
                <m:r>
                  <m:rPr>
                    <m:sty m:val="p"/>
                  </m:rPr>
                  <m:t>,</m:t>
                </m:r>
                <m:sSub>
                  <m:e>
                    <m:r>
                      <m:t>Y</m:t>
                    </m:r>
                  </m:e>
                  <m:sub>
                    <m:r>
                      <m:t>m</m:t>
                    </m:r>
                    <m:r>
                      <m:t>p</m:t>
                    </m:r>
                  </m:sub>
                </m:sSub>
              </m:e>
            </m:d>
          </m:num>
          <m:den>
            <m:r>
              <m:rPr>
                <m:sty m:val="p"/>
              </m:rPr>
              <m:t>Var</m:t>
            </m:r>
            <m:d>
              <m:dPr>
                <m:begChr m:val="("/>
                <m:sepChr m:val=""/>
                <m:endChr m:val=")"/>
                <m:grow/>
              </m:dPr>
              <m:e>
                <m:sSub>
                  <m:e>
                    <m:r>
                      <m:t>Y</m:t>
                    </m:r>
                  </m:e>
                  <m:sub>
                    <m:r>
                      <m:t>m</m:t>
                    </m:r>
                    <m:r>
                      <m:t>p</m:t>
                    </m:r>
                  </m:sub>
                </m:sSub>
              </m:e>
            </m:d>
          </m:den>
        </m:f>
      </m:oMath>
      <w:r>
        <w:t xml:space="preserve">, show that</w:t>
      </w:r>
      <w:r>
        <w:t xml:space="preserve"> </w:t>
      </w:r>
      <m:oMath>
        <m:r>
          <m:t>β</m:t>
        </m:r>
        <m:r>
          <m:t> </m:t>
        </m:r>
        <m:r>
          <m:rPr>
            <m:sty m:val="p"/>
          </m:rPr>
          <m:t>=</m:t>
        </m:r>
        <m:r>
          <m:t> </m:t>
        </m:r>
        <m:f>
          <m:fPr>
            <m:type m:val="bar"/>
          </m:fPr>
          <m:num>
            <m:sSubSup>
              <m:e>
                <m:r>
                  <m:t>σ</m:t>
                </m:r>
              </m:e>
              <m:sub>
                <m:r>
                  <m:t>A</m:t>
                </m:r>
              </m:sub>
              <m:sup>
                <m:r>
                  <m:t>2</m:t>
                </m:r>
              </m:sup>
            </m:sSubSup>
          </m:num>
          <m:den>
            <m:sSubSup>
              <m:e>
                <m:r>
                  <m:t>σ</m:t>
                </m:r>
              </m:e>
              <m:sub>
                <m:r>
                  <m:t>A</m:t>
                </m:r>
              </m:sub>
              <m:sup>
                <m:r>
                  <m:t>2</m:t>
                </m:r>
              </m:sup>
            </m:sSubSup>
            <m:r>
              <m:rPr>
                <m:sty m:val="p"/>
              </m:rPr>
              <m:t>+</m:t>
            </m:r>
            <m:sSubSup>
              <m:e>
                <m:r>
                  <m:t>σ</m:t>
                </m:r>
              </m:e>
              <m:sub>
                <m:r>
                  <m:t>E</m:t>
                </m:r>
              </m:sub>
              <m:sup>
                <m:r>
                  <m:t>2</m:t>
                </m:r>
              </m:sup>
            </m:sSubSup>
          </m:den>
        </m:f>
        <m:r>
          <m:rPr>
            <m:sty m:val="p"/>
          </m:rPr>
          <m:t>⋅</m:t>
        </m:r>
        <m:f>
          <m:fPr>
            <m:type m:val="bar"/>
          </m:fPr>
          <m:num>
            <m:r>
              <m:t>1</m:t>
            </m:r>
          </m:num>
          <m:den>
            <m:r>
              <m:t>1</m:t>
            </m:r>
            <m:r>
              <m:rPr>
                <m:sty m:val="p"/>
              </m:rPr>
              <m:t>+</m:t>
            </m:r>
            <m:sSub>
              <m:e>
                <m:r>
                  <m:t>r</m:t>
                </m:r>
              </m:e>
              <m:sub>
                <m:r>
                  <m:t>m</m:t>
                </m:r>
              </m:sub>
            </m:sSub>
          </m:den>
        </m:f>
        <m:r>
          <m:t> </m:t>
        </m:r>
        <m:r>
          <m:rPr>
            <m:sty m:val="p"/>
          </m:rPr>
          <m:t>=</m:t>
        </m:r>
        <m:r>
          <m:t> </m:t>
        </m:r>
        <m:f>
          <m:fPr>
            <m:type m:val="bar"/>
          </m:fPr>
          <m:num>
            <m:sSup>
              <m:e>
                <m:r>
                  <m:t>h</m:t>
                </m:r>
              </m:e>
              <m:sup>
                <m:r>
                  <m:t>2</m:t>
                </m:r>
              </m:sup>
            </m:sSup>
          </m:num>
          <m:den>
            <m:r>
              <m:t>1</m:t>
            </m:r>
            <m:r>
              <m:rPr>
                <m:sty m:val="p"/>
              </m:rPr>
              <m:t>+</m:t>
            </m:r>
            <m:sSub>
              <m:e>
                <m:r>
                  <m:t>r</m:t>
                </m:r>
              </m:e>
              <m:sub>
                <m:r>
                  <m:t>m</m:t>
                </m:r>
              </m:sub>
            </m:sSub>
          </m:den>
        </m:f>
      </m:oMath>
      <w:r>
        <w:t xml:space="preserve">. Interpret the direction of bias in</w:t>
      </w:r>
      <w:r>
        <w:t xml:space="preserve"> </w:t>
      </w:r>
      <m:oMath>
        <m:r>
          <m:t>β</m:t>
        </m:r>
      </m:oMath>
      <w:r>
        <w:t xml:space="preserve"> </w:t>
      </w:r>
      <w:r>
        <w:t xml:space="preserve">for</w:t>
      </w:r>
      <w:r>
        <w:t xml:space="preserve"> </w:t>
      </w:r>
      <m:oMath>
        <m:sSub>
          <m:e>
            <m:r>
              <m:t>r</m:t>
            </m:r>
          </m:e>
          <m:sub>
            <m:r>
              <m:t>m</m:t>
            </m:r>
          </m:sub>
        </m:sSub>
        <m:r>
          <m:rPr>
            <m:sty m:val="p"/>
          </m:rPr>
          <m:t>&gt;</m:t>
        </m:r>
        <m:r>
          <m:t>0</m:t>
        </m:r>
      </m:oMath>
      <w:r>
        <w:t xml:space="preserve">.</w:t>
      </w:r>
    </w:p>
    <w:p>
      <w:pPr>
        <w:pStyle w:val="Compact"/>
        <w:numPr>
          <w:ilvl w:val="0"/>
          <w:numId w:val="1004"/>
        </w:numPr>
      </w:pPr>
      <w:r>
        <w:t xml:space="preserve">For</w:t>
      </w:r>
      <w:r>
        <w:t xml:space="preserve"> </w:t>
      </w:r>
      <m:oMath>
        <m:sSup>
          <m:e>
            <m:r>
              <m:t>h</m:t>
            </m:r>
          </m:e>
          <m:sup>
            <m:r>
              <m:t>2</m:t>
            </m:r>
          </m:sup>
        </m:sSup>
        <m:r>
          <m:rPr>
            <m:sty m:val="p"/>
          </m:rPr>
          <m:t>=</m:t>
        </m:r>
        <m:r>
          <m:t>0.5</m:t>
        </m:r>
      </m:oMath>
      <w:r>
        <w:t xml:space="preserve">, compute</w:t>
      </w:r>
      <w:r>
        <w:t xml:space="preserve"> </w:t>
      </w:r>
      <m:oMath>
        <m:r>
          <m:t>β</m:t>
        </m:r>
      </m:oMath>
      <w:r>
        <w:t xml:space="preserve"> </w:t>
      </w:r>
      <w:r>
        <w:t xml:space="preserve">for</w:t>
      </w:r>
      <w:r>
        <w:t xml:space="preserve"> </w:t>
      </w:r>
      <m:oMath>
        <m:sSub>
          <m:e>
            <m:r>
              <m:t>r</m:t>
            </m:r>
          </m:e>
          <m:sub>
            <m:r>
              <m:t>m</m:t>
            </m:r>
          </m:sub>
        </m:sSub>
        <m:r>
          <m:rPr>
            <m:sty m:val="p"/>
          </m:rPr>
          <m:t>=</m:t>
        </m:r>
        <m:r>
          <m:t>0</m:t>
        </m:r>
        <m:r>
          <m:rPr>
            <m:sty m:val="p"/>
          </m:rPr>
          <m:t>,</m:t>
        </m:r>
        <m:r>
          <m:t>0.1</m:t>
        </m:r>
        <m:r>
          <m:rPr>
            <m:sty m:val="p"/>
          </m:rPr>
          <m:t>,</m:t>
        </m:r>
        <m:r>
          <m:t>0.3</m:t>
        </m:r>
        <m:r>
          <m:rPr>
            <m:sty m:val="p"/>
          </m:rPr>
          <m:t>,</m:t>
        </m:r>
        <m:r>
          <m:t>0.5</m:t>
        </m:r>
      </m:oMath>
      <w:r>
        <w:t xml:space="preserve">. Comment on the practical impact of assortative mating on parent–offspring regression.</w:t>
      </w:r>
    </w:p>
    <w:bookmarkEnd w:id="21"/>
    <w:bookmarkStart w:id="25" w:name="X8d36666f233799e49ad22d1e483aee9f7bf488e"/>
    <w:p>
      <w:pPr>
        <w:pStyle w:val="Heading2"/>
      </w:pPr>
      <w:r>
        <w:t xml:space="preserve">Problem 3: Derivation of Falconer’s Formula from the ACE Model</w:t>
      </w:r>
    </w:p>
    <w:p>
      <w:pPr>
        <w:pStyle w:val="FirstParagraph"/>
      </w:pPr>
      <w:r>
        <w:rPr>
          <w:b/>
          <w:bCs/>
        </w:rPr>
        <w:t xml:space="preserve">Background:</w:t>
      </w:r>
      <w:r>
        <w:t xml:space="preserve"> </w:t>
      </w:r>
      <w:r>
        <w:t xml:space="preserve">The ACE model is a foundational tool in quantitative genetics for partitioning phenotypic variance (</w:t>
      </w:r>
      <m:oMath>
        <m:sSub>
          <m:e>
            <m:r>
              <m:t>V</m:t>
            </m:r>
          </m:e>
          <m:sub>
            <m:r>
              <m:t>P</m:t>
            </m:r>
          </m:sub>
        </m:sSub>
      </m:oMath>
      <w:r>
        <w:t xml:space="preserve">) into three components: additive genetic effects (</w:t>
      </w:r>
      <m:oMath>
        <m:r>
          <m:t>A</m:t>
        </m:r>
      </m:oMath>
      <w:r>
        <w:t xml:space="preserve">), common or shared environmental effects (</w:t>
      </w:r>
      <m:oMath>
        <m:r>
          <m:t>C</m:t>
        </m:r>
      </m:oMath>
      <w:r>
        <w:t xml:space="preserve">), and unique or non-shared environmental effects (</w:t>
      </w:r>
      <m:oMath>
        <m:r>
          <m:t>E</m:t>
        </m:r>
      </m:oMath>
      <w:r>
        <w:t xml:space="preserve">). Under this model, the total variance is given by</w:t>
      </w:r>
      <w:r>
        <w:t xml:space="preserve"> </w:t>
      </w:r>
      <m:oMath>
        <m:sSub>
          <m:e>
            <m:r>
              <m:t>V</m:t>
            </m:r>
          </m:e>
          <m:sub>
            <m:r>
              <m:t>P</m:t>
            </m:r>
          </m:sub>
        </m:sSub>
        <m:r>
          <m:rPr>
            <m:sty m:val="p"/>
          </m:rPr>
          <m:t>=</m:t>
        </m:r>
        <m:sSub>
          <m:e>
            <m:r>
              <m:t>V</m:t>
            </m:r>
          </m:e>
          <m:sub>
            <m:r>
              <m:t>A</m:t>
            </m:r>
          </m:sub>
        </m:sSub>
        <m:r>
          <m:rPr>
            <m:sty m:val="p"/>
          </m:rPr>
          <m:t>+</m:t>
        </m:r>
        <m:sSub>
          <m:e>
            <m:r>
              <m:t>V</m:t>
            </m:r>
          </m:e>
          <m:sub>
            <m:r>
              <m:t>C</m:t>
            </m:r>
          </m:sub>
        </m:sSub>
        <m:r>
          <m:rPr>
            <m:sty m:val="p"/>
          </m:rPr>
          <m:t>+</m:t>
        </m:r>
        <m:sSub>
          <m:e>
            <m:r>
              <m:t>V</m:t>
            </m:r>
          </m:e>
          <m:sub>
            <m:r>
              <m:t>E</m:t>
            </m:r>
          </m:sub>
        </m:sSub>
      </m:oMath>
      <w:r>
        <w:t xml:space="preserve">.</w:t>
      </w:r>
    </w:p>
    <w:p>
      <w:pPr>
        <w:pStyle w:val="BodyText"/>
      </w:pPr>
      <w:r>
        <w:t xml:space="preserve">The intraclass correlations for a trait between monozygotic (MZ) and dizygotic (DZ) twins are given by:</w:t>
      </w:r>
    </w:p>
    <w:p>
      <w:pPr>
        <w:pStyle w:val="BodyText"/>
      </w:pPr>
      <m:oMathPara>
        <m:oMathParaPr>
          <m:jc m:val="center"/>
        </m:oMathParaPr>
        <m:oMath>
          <m:sSub>
            <m:e>
              <m:r>
                <m:t>r</m:t>
              </m:r>
            </m:e>
            <m:sub>
              <m:r>
                <m:rPr>
                  <m:nor/>
                  <m:sty m:val="p"/>
                </m:rPr>
                <m:t>MZ</m:t>
              </m:r>
            </m:sub>
          </m:sSub>
          <m:r>
            <m:rPr>
              <m:sty m:val="p"/>
            </m:rPr>
            <m:t>=</m:t>
          </m:r>
          <m:f>
            <m:fPr>
              <m:type m:val="bar"/>
            </m:fPr>
            <m:num>
              <m:r>
                <m:rPr>
                  <m:sty m:val="p"/>
                </m:rPr>
                <m:t>Cov</m:t>
              </m:r>
              <m:d>
                <m:dPr>
                  <m:begChr m:val="("/>
                  <m:sepChr m:val=""/>
                  <m:endChr m:val=")"/>
                  <m:grow/>
                </m:dPr>
                <m:e>
                  <m:sSub>
                    <m:e>
                      <m:r>
                        <m:t>Y</m:t>
                      </m:r>
                    </m:e>
                    <m:sub>
                      <m:r>
                        <m:t>1</m:t>
                      </m:r>
                    </m:sub>
                  </m:sSub>
                  <m:r>
                    <m:rPr>
                      <m:sty m:val="p"/>
                    </m:rPr>
                    <m:t>,</m:t>
                  </m:r>
                  <m:sSub>
                    <m:e>
                      <m:r>
                        <m:t>Y</m:t>
                      </m:r>
                    </m:e>
                    <m:sub>
                      <m:r>
                        <m:t>2</m:t>
                      </m:r>
                    </m:sub>
                  </m:sSub>
                  <m:r>
                    <m:rPr>
                      <m:sty m:val="p"/>
                    </m:rPr>
                    <m:t>∣</m:t>
                  </m:r>
                  <m:r>
                    <m:rPr>
                      <m:nor/>
                      <m:sty m:val="p"/>
                    </m:rPr>
                    <m:t>MZ</m:t>
                  </m:r>
                </m:e>
              </m:d>
            </m:num>
            <m:den>
              <m:sSub>
                <m:e>
                  <m:r>
                    <m:t>V</m:t>
                  </m:r>
                </m:e>
                <m:sub>
                  <m:r>
                    <m:t>P</m:t>
                  </m:r>
                </m:sub>
              </m:sSub>
            </m:den>
          </m:f>
        </m:oMath>
      </m:oMathPara>
    </w:p>
    <w:p>
      <w:pPr>
        <w:pStyle w:val="FirstParagraph"/>
      </w:pPr>
      <m:oMathPara>
        <m:oMathParaPr>
          <m:jc m:val="center"/>
        </m:oMathParaPr>
        <m:oMath>
          <m:sSub>
            <m:e>
              <m:r>
                <m:t>r</m:t>
              </m:r>
            </m:e>
            <m:sub>
              <m:r>
                <m:rPr>
                  <m:nor/>
                  <m:sty m:val="p"/>
                </m:rPr>
                <m:t>DZ</m:t>
              </m:r>
            </m:sub>
          </m:sSub>
          <m:r>
            <m:rPr>
              <m:sty m:val="p"/>
            </m:rPr>
            <m:t>=</m:t>
          </m:r>
          <m:f>
            <m:fPr>
              <m:type m:val="bar"/>
            </m:fPr>
            <m:num>
              <m:r>
                <m:rPr>
                  <m:sty m:val="p"/>
                </m:rPr>
                <m:t>Cov</m:t>
              </m:r>
              <m:d>
                <m:dPr>
                  <m:begChr m:val="("/>
                  <m:sepChr m:val=""/>
                  <m:endChr m:val=")"/>
                  <m:grow/>
                </m:dPr>
                <m:e>
                  <m:sSub>
                    <m:e>
                      <m:r>
                        <m:t>Y</m:t>
                      </m:r>
                    </m:e>
                    <m:sub>
                      <m:r>
                        <m:t>1</m:t>
                      </m:r>
                    </m:sub>
                  </m:sSub>
                  <m:r>
                    <m:rPr>
                      <m:sty m:val="p"/>
                    </m:rPr>
                    <m:t>,</m:t>
                  </m:r>
                  <m:sSub>
                    <m:e>
                      <m:r>
                        <m:t>Y</m:t>
                      </m:r>
                    </m:e>
                    <m:sub>
                      <m:r>
                        <m:t>2</m:t>
                      </m:r>
                    </m:sub>
                  </m:sSub>
                  <m:r>
                    <m:rPr>
                      <m:sty m:val="p"/>
                    </m:rPr>
                    <m:t>∣</m:t>
                  </m:r>
                  <m:r>
                    <m:rPr>
                      <m:nor/>
                      <m:sty m:val="p"/>
                    </m:rPr>
                    <m:t>DZ</m:t>
                  </m:r>
                </m:e>
              </m:d>
            </m:num>
            <m:den>
              <m:sSub>
                <m:e>
                  <m:r>
                    <m:t>V</m:t>
                  </m:r>
                </m:e>
                <m:sub>
                  <m:r>
                    <m:t>P</m:t>
                  </m:r>
                </m:sub>
              </m:sSub>
            </m:den>
          </m:f>
        </m:oMath>
      </m:oMathPara>
    </w:p>
    <w:p>
      <w:pPr>
        <w:pStyle w:val="FirstParagraph"/>
      </w:pPr>
      <w:r>
        <w:t xml:space="preserve">Assume that:</w:t>
      </w:r>
    </w:p>
    <w:p>
      <w:pPr>
        <w:pStyle w:val="Compact"/>
        <w:numPr>
          <w:ilvl w:val="0"/>
          <w:numId w:val="1005"/>
        </w:numPr>
      </w:pPr>
      <w:r>
        <w:t xml:space="preserve">Mating is random (no assortative mating).</w:t>
      </w:r>
    </w:p>
    <w:p>
      <w:pPr>
        <w:pStyle w:val="Compact"/>
        <w:numPr>
          <w:ilvl w:val="0"/>
          <w:numId w:val="1005"/>
        </w:numPr>
      </w:pPr>
      <w:r>
        <w:t xml:space="preserve">There are no gene-environment interactions or correlations.</w:t>
      </w:r>
    </w:p>
    <w:p>
      <w:pPr>
        <w:pStyle w:val="Compact"/>
        <w:numPr>
          <w:ilvl w:val="0"/>
          <w:numId w:val="1005"/>
        </w:numPr>
      </w:pPr>
      <w:r>
        <w:t xml:space="preserve">The equal environments assumption holds (MZ and DZ twins experience their shared environments to a similar degree).</w:t>
      </w:r>
    </w:p>
    <w:p>
      <w:pPr>
        <w:pStyle w:val="Compact"/>
        <w:numPr>
          <w:ilvl w:val="0"/>
          <w:numId w:val="1005"/>
        </w:numPr>
      </w:pPr>
      <w:r>
        <w:t xml:space="preserve">Genetic effects are purely additive (no dominance or epistasis).</w:t>
      </w:r>
    </w:p>
    <w:p>
      <w:pPr>
        <w:pStyle w:val="FirstParagraph"/>
      </w:pPr>
      <w:r>
        <w:t xml:space="preserve">Assuming the ACE model, demonstrate that the narrow-sense heritability (</w:t>
      </w:r>
      <m:oMath>
        <m:sSup>
          <m:e>
            <m:r>
              <m:t>h</m:t>
            </m:r>
          </m:e>
          <m:sup>
            <m:r>
              <m:t>2</m:t>
            </m:r>
          </m:sup>
        </m:sSup>
        <m:r>
          <m:rPr>
            <m:sty m:val="p"/>
          </m:rPr>
          <m:t>=</m:t>
        </m:r>
        <m:sSub>
          <m:e>
            <m:r>
              <m:t>V</m:t>
            </m:r>
          </m:e>
          <m:sub>
            <m:r>
              <m:t>A</m:t>
            </m:r>
          </m:sub>
        </m:sSub>
        <m:r>
          <m:rPr>
            <m:sty m:val="p"/>
          </m:rPr>
          <m:t>/</m:t>
        </m:r>
        <m:sSub>
          <m:e>
            <m:r>
              <m:t>V</m:t>
            </m:r>
          </m:e>
          <m:sub>
            <m:r>
              <m:t>P</m:t>
            </m:r>
          </m:sub>
        </m:sSub>
      </m:oMath>
      <w:r>
        <w:t xml:space="preserve">) can be estimated as twice the difference between the MZ and DZ twin correlations.</w:t>
      </w:r>
    </w:p>
    <w:p>
      <w:pPr>
        <w:pStyle w:val="BodyText"/>
      </w:pPr>
      <w:r>
        <w:t xml:space="preserve">Show that:</w:t>
      </w:r>
    </w:p>
    <w:p>
      <w:pPr>
        <w:pStyle w:val="BodyText"/>
      </w:pPr>
      <m:oMathPara>
        <m:oMathParaPr>
          <m:jc m:val="center"/>
        </m:oMathParaPr>
        <m:oMath>
          <m:sSup>
            <m:e>
              <m:r>
                <m:t>h</m:t>
              </m:r>
            </m:e>
            <m:sup>
              <m:r>
                <m:t>2</m:t>
              </m:r>
            </m:sup>
          </m:sSup>
          <m:r>
            <m:rPr>
              <m:sty m:val="p"/>
            </m:rPr>
            <m:t>=</m:t>
          </m:r>
          <m:r>
            <m:t>2</m:t>
          </m:r>
          <m:d>
            <m:dPr>
              <m:begChr m:val="("/>
              <m:sepChr m:val=""/>
              <m:endChr m:val=")"/>
              <m:grow/>
            </m:dPr>
            <m:e>
              <m:sSub>
                <m:e>
                  <m:r>
                    <m:t>r</m:t>
                  </m:r>
                </m:e>
                <m:sub>
                  <m:r>
                    <m:rPr>
                      <m:nor/>
                      <m:sty m:val="p"/>
                    </m:rPr>
                    <m:t>MZ</m:t>
                  </m:r>
                </m:sub>
              </m:sSub>
              <m:r>
                <m:rPr>
                  <m:sty m:val="p"/>
                </m:rPr>
                <m:t>−</m:t>
              </m:r>
              <m:sSub>
                <m:e>
                  <m:r>
                    <m:t>r</m:t>
                  </m:r>
                </m:e>
                <m:sub>
                  <m:r>
                    <m:rPr>
                      <m:nor/>
                      <m:sty m:val="p"/>
                    </m:rPr>
                    <m:t>DZ</m:t>
                  </m:r>
                </m:sub>
              </m:sSub>
            </m:e>
          </m:d>
        </m:oMath>
      </m:oMathPara>
    </w:p>
    <w:bookmarkStart w:id="24" w:name="refs"/>
    <w:bookmarkStart w:id="23" w:name="ref-young2019"/>
    <w:p>
      <w:pPr>
        <w:pStyle w:val="Bibliography"/>
      </w:pPr>
      <w:r>
        <w:t xml:space="preserve">Young, A. I. (2019).</w:t>
      </w:r>
      <w:r>
        <w:t xml:space="preserve"> </w:t>
      </w:r>
      <w:hyperlink r:id="rId22">
        <w:r>
          <w:rPr>
            <w:rStyle w:val="Hyperlink"/>
          </w:rPr>
          <w:t xml:space="preserve">Solving the missing heritability problem</w:t>
        </w:r>
      </w:hyperlink>
      <w:r>
        <w:t xml:space="preserve">.</w:t>
      </w:r>
      <w:r>
        <w:t xml:space="preserve"> </w:t>
      </w:r>
      <w:r>
        <w:rPr>
          <w:i/>
          <w:iCs/>
        </w:rPr>
        <w:t xml:space="preserve">PLOS Genetics</w:t>
      </w:r>
      <w:r>
        <w:t xml:space="preserve"> </w:t>
      </w:r>
      <w:r>
        <w:rPr>
          <w:b/>
          <w:bCs/>
        </w:rPr>
        <w:t xml:space="preserve">15</w:t>
      </w:r>
      <w:r>
        <w:t xml:space="preserve">, e1008222.</w:t>
      </w:r>
    </w:p>
    <w:bookmarkEnd w:id="23"/>
    <w:bookmarkEnd w:id="24"/>
    <w:bookmarkEnd w:id="2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11">
    <w:nsid w:val="00A9971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doi.org/10.1371/journal.pgen.1008222" TargetMode="External" /></Relationships>
</file>

<file path=word/_rels/footnotes.xml.rels><?xml version="1.0" encoding="UTF-8"?><Relationships xmlns="http://schemas.openxmlformats.org/package/2006/relationships"><Relationship Type="http://schemas.openxmlformats.org/officeDocument/2006/relationships/hyperlink" Id="rId22" Target="https://doi.org/10.1371/journal.pgen.100822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02</dc:title>
  <dc:creator/>
  <cp:keywords/>
  <dcterms:created xsi:type="dcterms:W3CDTF">2025-09-04T18:23:53Z</dcterms:created>
  <dcterms:modified xsi:type="dcterms:W3CDTF">2025-09-04T18:23:53Z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references.bib</vt:lpwstr>
  </property>
  <property fmtid="{D5CDD505-2E9C-101B-9397-08002B2CF9AE}" pid="4" name="csl">
    <vt:lpwstr>https://www.zotero.org/styles/biostatistics</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subtitle">
    <vt:lpwstr>PUBH 8878: Heritability, Segregation, and Gene Mapping Theory</vt:lpwstr>
  </property>
  <property fmtid="{D5CDD505-2E9C-101B-9397-08002B2CF9AE}" pid="10" name="toc-title">
    <vt:lpwstr>Table of contents</vt:lpwstr>
  </property>
</Properties>
</file>