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Requirements: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 R code with clear comments and set seeds.</w:t>
      </w:r>
    </w:p>
    <w:p>
      <w:pPr>
        <w:pStyle w:val="Compact"/>
        <w:numPr>
          <w:ilvl w:val="0"/>
          <w:numId w:val="1001"/>
        </w:numPr>
      </w:pPr>
      <w:r>
        <w:t xml:space="preserve">Interpret results in a genetic/biological context where applicable.</w:t>
      </w:r>
    </w:p>
    <w:p>
      <w:pPr>
        <w:pStyle w:val="Compact"/>
        <w:numPr>
          <w:ilvl w:val="0"/>
          <w:numId w:val="1001"/>
        </w:numPr>
      </w:pPr>
      <w:r>
        <w:t xml:space="preserve">Submit the rendered PDF; 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You may reuse and adapt your Lab 03 code, but your write‑up must be self‑contained.</w:t>
      </w:r>
    </w:p>
    <w:bookmarkStart w:id="22" w:name="Xdfbe7b421eea829d47225e76a4466fc9806eaeb"/>
    <w:p>
      <w:pPr>
        <w:pStyle w:val="Heading2"/>
      </w:pPr>
      <w:r>
        <w:t xml:space="preserve">Problem 1: EM for ABO gene frequencies; derivation, inference, and sensitivity (25 pts)</w:t>
      </w:r>
    </w:p>
    <w:bookmarkStart w:id="20" w:name="part-a-15-pts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Consider phenotype counts from the ABO system under Hardy–Weinberg equilibrium (HWE):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with total</w:t>
      </w:r>
      <w:r>
        <w:t xml:space="preserve"> </w:t>
      </w:r>
      <m:oMath>
        <m:r>
          <m:t>N</m:t>
        </m:r>
      </m:oMath>
      <w:r>
        <w:t xml:space="preserve">. Let genotype frequencies be</w:t>
      </w:r>
      <w:r>
        <w:t xml:space="preserve"> </w:t>
      </w:r>
      <m:oMath>
        <m:sSubSup>
          <m:e>
            <m:r>
              <m:t>p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B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O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Derive the EM updates shown in lecture. Specifically, show that the E‑step allocations for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phenotypes are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 similarly for</w:t>
      </w:r>
      <w:r>
        <w:t xml:space="preserve"> </w:t>
      </w:r>
      <m:oMath>
        <m:r>
          <m:t>B</m:t>
        </m:r>
        <m:r>
          <m:t>B</m:t>
        </m:r>
        <m:r>
          <m:rPr>
            <m:sty m:val="p"/>
          </m:rPr>
          <m:t>,</m:t>
        </m:r>
        <m:r>
          <m:t>B</m:t>
        </m:r>
        <m:r>
          <m:t>O</m:t>
        </m:r>
      </m:oMath>
      <w:r>
        <w:t xml:space="preserve">, and that the M‑step is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O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</m:oMath>
      </m:oMathPara>
    </w:p>
    <w:p>
      <w:pPr>
        <w:pStyle w:val="FirstParagraph"/>
      </w:pPr>
      <w:r>
        <w:t xml:space="preserve">Hint (how to derive EM generally):</w:t>
      </w:r>
    </w:p>
    <w:p>
      <w:pPr>
        <w:pStyle w:val="Compact"/>
        <w:numPr>
          <w:ilvl w:val="0"/>
          <w:numId w:val="1002"/>
        </w:numPr>
      </w:pPr>
      <w:r>
        <w:t xml:space="preserve">Choose latent variables so the complete data are simple. Here, treat latent genotype counts,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O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missing, with only phenotype totals observed.</w:t>
      </w:r>
    </w:p>
    <w:p>
      <w:pPr>
        <w:pStyle w:val="Compact"/>
        <w:numPr>
          <w:ilvl w:val="0"/>
          <w:numId w:val="1003"/>
        </w:numPr>
      </w:pPr>
      <w:r>
        <w:t xml:space="preserve">Write the complete‑data log‑likelihood</w:t>
      </w:r>
    </w:p>
    <w:p>
      <w:pPr>
        <w:pStyle w:val="FirstParagraph"/>
      </w:pPr>
    </w:p>
    <w:p>
      <w:pPr>
        <w:pStyle w:val="BodyText"/>
      </w:pPr>
      <w:r>
        <w:t xml:space="preserve">using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E‑step: replace latent counts by their conditional expectations given the observed phenotypes under current parameters, e.g., for phenotype</w:t>
      </w:r>
      <w:r>
        <w:t xml:space="preserve"> </w:t>
      </w:r>
      <m:oMath>
        <m:r>
          <m:t>A</m:t>
        </m:r>
      </m:oMath>
      <w:r>
        <w:t xml:space="preserve">, and form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t> </m:t>
            </m:r>
            <m:r>
              <m:rPr>
                <m:sty m:val="p"/>
              </m:rPr>
              <m:t>|</m:t>
            </m:r>
            <m:r>
              <m:t> 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rPr>
                    <m:sty m:val="p"/>
                  </m:rPr>
                  <m:t>ℓ</m:t>
                </m:r>
              </m:e>
              <m:sub>
                <m:r>
                  <m:t>c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p</m:t>
                </m:r>
              </m:e>
            </m:d>
            <m:r>
              <m:rPr>
                <m:sty m:val="p"/>
              </m:rPr>
              <m:t>∣</m:t>
            </m:r>
            <m:r>
              <m:rPr>
                <m:nor/>
                <m:sty m:val="p"/>
              </m:rPr>
              <m:t>data</m:t>
            </m:r>
            <m:r>
              <m:rPr>
                <m:sty m:val="p"/>
              </m:rPr>
              <m:t>,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M‑step: M-step: Maximize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|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 </w:t>
      </w:r>
      <w:r>
        <w:t xml:space="preserve">subject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Hint: Consider rewriting the objective in terms of allele counts rather than genotype counts.</w:t>
      </w:r>
    </w:p>
    <w:bookmarkEnd w:id="20"/>
    <w:bookmarkStart w:id="21" w:name="part-b-10-pts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Consider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under HWE and unphased genotypes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 Note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etc.</w:t>
      </w:r>
    </w:p>
    <w:p>
      <w:pPr>
        <w:pStyle w:val="BodyText"/>
      </w:pPr>
      <w:r>
        <w:t xml:space="preserve">Show that if every observed genotype is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then</w:t>
      </w:r>
      <w:r>
        <w:t xml:space="preserve"> </w:t>
      </w:r>
      <m:oMath>
        <m:r>
          <m:t>P</m:t>
        </m:r>
        <m:r>
          <m:rPr>
            <m:sty m:val="p"/>
          </m:rPr>
          <m:t>{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t>2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and the likelihood depends only on the cross‑sum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(a ridge; parameters not identifiable).</w:t>
      </w:r>
    </w:p>
    <w:bookmarkEnd w:id="21"/>
    <w:bookmarkEnd w:id="22"/>
    <w:bookmarkStart w:id="25" w:name="Xad917bd66837ff584ad1173d787cb811124908c"/>
    <w:p>
      <w:pPr>
        <w:pStyle w:val="Heading2"/>
      </w:pPr>
      <w:r>
        <w:t xml:space="preserve">Problem 2: Two‑point linkage — LOD and support intervals (25 pts)</w:t>
      </w:r>
    </w:p>
    <w:p>
      <w:pPr>
        <w:pStyle w:val="FirstParagraph"/>
      </w:pPr>
      <w:r>
        <w:t xml:space="preserve">Suppose one heterozygous transmitting parent (</w:t>
      </w:r>
      <m:oMath>
        <m:r>
          <m:t>A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/</m:t>
        </m:r>
        <m:r>
          <m:t>b</m:t>
        </m:r>
      </m:oMath>
      <w:r>
        <w:t xml:space="preserve">) is crossed to an</w:t>
      </w:r>
      <w:r>
        <w:t xml:space="preserve"> </w:t>
      </w:r>
      <m:oMath>
        <m:r>
          <m:t>a</m:t>
        </m:r>
        <m:r>
          <m:t>a</m:t>
        </m:r>
        <m:r>
          <m:t>b</m:t>
        </m:r>
        <m:r>
          <m:t>b</m:t>
        </m:r>
      </m:oMath>
      <w:r>
        <w:t xml:space="preserve"> </w:t>
      </w:r>
      <w:r>
        <w:t xml:space="preserve">mate, yielding child haplotype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. Let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NR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</w:t>
      </w:r>
    </w:p>
    <w:bookmarkStart w:id="23" w:name="part-a-lod-from-counts-10-pts."/>
    <w:p>
      <w:pPr>
        <w:pStyle w:val="Heading3"/>
      </w:pPr>
      <w:r>
        <w:t xml:space="preserve">Part A: LOD from counts (10 pts).</w:t>
      </w:r>
    </w:p>
    <w:p>
      <w:pPr>
        <w:pStyle w:val="FirstParagraph"/>
      </w:pPr>
      <w:r>
        <w:t xml:space="preserve">Show that for a given recombination fraction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the two‑point LOD relative to independence (</w:t>
      </w:r>
      <m:oMath>
        <m:r>
          <m:t>θ</m:t>
        </m:r>
        <m:r>
          <m:rPr>
            <m:sty m:val="p"/>
          </m:rPr>
          <m:t>=</m:t>
        </m:r>
        <m:r>
          <m:t>0.5</m:t>
        </m:r>
      </m:oMath>
      <w:r>
        <w:t xml:space="preserve">)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Derive the MLE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 </w:t>
      </w:r>
      <w:r>
        <w:t xml:space="preserve">and show it equals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R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NR</m:t>
                </m:r>
              </m:sub>
            </m:sSub>
          </m:e>
        </m:d>
      </m:oMath>
      <w:r>
        <w:t xml:space="preserve"> </w:t>
      </w:r>
      <w:r>
        <w:t xml:space="preserve">when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&lt;</m:t>
        </m:r>
        <m:r>
          <m:t>0.5</m:t>
        </m:r>
      </m:oMath>
      <w:r>
        <w:t xml:space="preserve">.</w:t>
      </w:r>
    </w:p>
    <w:bookmarkEnd w:id="23"/>
    <w:bookmarkStart w:id="24" w:name="X4e72f24a74870ed2dc22edabd4b02d32fd5efdc"/>
    <w:p>
      <w:pPr>
        <w:pStyle w:val="Heading3"/>
      </w:pPr>
      <w:r>
        <w:t xml:space="preserve">Part B: Unknown phase and LD‑informed LOD (15 pts)</w:t>
      </w:r>
    </w:p>
    <w:p>
      <w:pPr>
        <w:pStyle w:val="FirstParagraph"/>
      </w:pPr>
      <w:r>
        <w:t xml:space="preserve">A heterozygous transmitting parent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t>a</m:t>
            </m:r>
            <m:r>
              <m:rPr>
                <m:sty m:val="p"/>
              </m:rPr>
              <m:t>,</m:t>
            </m:r>
            <m:r>
              <m:t> </m:t>
            </m:r>
            <m:r>
              <m:t>B</m:t>
            </m:r>
            <m:r>
              <m:rPr>
                <m:sty m:val="p"/>
              </m:rPr>
              <m:t>/</m:t>
            </m:r>
            <m:r>
              <m:t>b</m:t>
            </m:r>
          </m:e>
        </m:d>
      </m:oMath>
      <w:r>
        <w:t xml:space="preserve"> </w:t>
      </w:r>
      <w:r>
        <w:t xml:space="preserve">has</w:t>
      </w:r>
      <w:r>
        <w:t xml:space="preserve"> </w:t>
      </w:r>
      <w:r>
        <w:rPr>
          <w:b/>
          <w:bCs/>
        </w:rPr>
        <w:t xml:space="preserve">unknown phase</w:t>
      </w:r>
      <w:r>
        <w:t xml:space="preserve">: either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. Let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N</m:t>
          </m:r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coupling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repulsion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(i) Mixture likelihood (5 pts).</w:t>
      </w:r>
      <w:r>
        <w:br/>
      </w:r>
      <w:r>
        <w:t xml:space="preserve">Show that with unknown phase the observed‑data likelihood is a</w:t>
      </w:r>
      <w:r>
        <w:t xml:space="preserve"> </w:t>
      </w:r>
      <w:r>
        <w:rPr>
          <w:b/>
          <w:bCs/>
        </w:rPr>
        <w:t xml:space="preserve">mixture</w:t>
      </w:r>
      <w:r>
        <w:t xml:space="preserve"> </w:t>
      </w:r>
      <w:r>
        <w:t xml:space="preserve">of the two phase‑specific binomial likelihoods: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r>
            <m:t>w</m:t>
          </m:r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 </m:t>
          </m:r>
          <m:r>
            <m:rPr>
              <m:sty m:val="p"/>
            </m:rPr>
            <m:t>+</m:t>
          </m:r>
          <m:r>
            <m:t> 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w</m:t>
              </m:r>
            </m:e>
          </m:d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 the two‑point LOD relative to independence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r>
              <m:t>0.5</m:t>
            </m:r>
          </m:e>
        </m:d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w</m:t>
                  </m:r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w</m:t>
                      </m:r>
                    </m:e>
                  </m:d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r>
                        <m:t>N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(ii) Linking LD to</w:t>
      </w:r>
      <w:r>
        <w:rPr>
          <w:b/>
          <w:bCs/>
        </w:rPr>
        <w:t xml:space="preserve"> </w:t>
      </w:r>
      <m:oMath>
        <m:r>
          <m:t>w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(5 pts).</w:t>
      </w:r>
      <w:r>
        <w:br/>
      </w:r>
      <w:r>
        <w:t xml:space="preserve">Let population haplotype frequencies be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(sum to 1).</w:t>
      </w:r>
      <w:r>
        <w:br/>
      </w:r>
      <w:r>
        <w:t xml:space="preserve">Condition on the parent being the</w:t>
      </w:r>
      <w:r>
        <w:t xml:space="preserve"> </w:t>
      </w:r>
      <w:r>
        <w:rPr>
          <w:b/>
          <w:bCs/>
        </w:rPr>
        <w:t xml:space="preserve">double heterozygote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Use Bayes’ rule to show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r>
            <m:rPr>
              <m:sty m:val="p"/>
            </m:rPr>
            <m:t>Pr</m:t>
          </m:r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∣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Define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 note that</w:t>
      </w:r>
      <w:r>
        <w:t xml:space="preserve"> </w:t>
      </w:r>
      <m:oMath>
        <m:r>
          <m:rPr>
            <m:sty m:val="p"/>
          </m:rPr>
          <m:t>sign</m:t>
        </m:r>
        <m:d>
          <m:dPr>
            <m:begChr m:val="("/>
            <m:sepChr m:val=""/>
            <m:endChr m:val=")"/>
            <m:grow/>
          </m:dPr>
          <m:e>
            <m:r>
              <m:t>D</m:t>
            </m:r>
          </m:e>
        </m:d>
      </m:oMath>
      <w:r>
        <w:t xml:space="preserve"> </w:t>
      </w:r>
      <w:r>
        <w:t xml:space="preserve">indicates whether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) 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&lt;</m:t>
        </m:r>
        <m:r>
          <m:t>0</m:t>
        </m:r>
      </m:oMath>
      <w:r>
        <w:t xml:space="preserve">) phase is a priori more likely.</w:t>
      </w:r>
    </w:p>
    <w:p>
      <w:pPr>
        <w:pStyle w:val="BodyText"/>
      </w:pPr>
      <w:r>
        <w:rPr>
          <w:b/>
          <w:bCs/>
        </w:rPr>
        <w:t xml:space="preserve">(iii) Quick numerical check (5 pts).</w:t>
      </w:r>
      <w:r>
        <w:br/>
      </w:r>
      <w:r>
        <w:t xml:space="preserve">Take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 </m:t>
            </m:r>
            <m:r>
              <m:t>0.10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</m:e>
        </m:d>
      </m:oMath>
      <w:r>
        <w:t xml:space="preserve">.</w:t>
      </w:r>
      <w:r>
        <w:br/>
      </w:r>
      <w:r>
        <w:t xml:space="preserve">Compute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</m:oMath>
      <w:r>
        <w:t xml:space="preserve">. Then, using the example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18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17</m:t>
            </m:r>
          </m:e>
        </m:d>
      </m:oMath>
      <w:r>
        <w:t xml:space="preserve"> </w:t>
      </w:r>
      <w:r>
        <w:t xml:space="preserve">(so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44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35</m:t>
        </m:r>
      </m:oMath>
      <w:r>
        <w:t xml:space="preserve">), evaluate and</w:t>
      </w:r>
      <w:r>
        <w:t xml:space="preserve"> </w:t>
      </w:r>
      <w:r>
        <w:rPr>
          <w:b/>
          <w:bCs/>
        </w:rPr>
        <w:t xml:space="preserve">compare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  <m:r>
              <m:rPr>
                <m:sty m:val="p"/>
              </m:rPr>
              <m:t>=</m:t>
            </m:r>
            <m:f>
              <m:fPr>
                <m:type m:val="lin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.</w:t>
      </w:r>
      <w:r>
        <w:br/>
      </w:r>
      <w:r>
        <w:t xml:space="preserve">Briefly explain (one sentence) how LD information (</w:t>
      </w:r>
      <m:oMath>
        <m:r>
          <m:t>w</m:t>
        </m:r>
        <m:r>
          <m:rPr>
            <m:sty m:val="p"/>
          </m:rPr>
          <m:t>≠</m:t>
        </m:r>
        <m:f>
          <m:fPr>
            <m:type m:val="lin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) can increase or decrease the peak LOD when phase is unknown.</w:t>
      </w:r>
    </w:p>
    <w:bookmarkEnd w:id="24"/>
    <w:bookmarkEnd w:id="25"/>
    <w:bookmarkStart w:id="29" w:name="Xcb8a72718f20f60c7b4f17e00dc92decbd65488"/>
    <w:p>
      <w:pPr>
        <w:pStyle w:val="Heading2"/>
      </w:pPr>
      <w:r>
        <w:t xml:space="preserve">Problem 3: Two‑SNP haplotype EM and LD measures (25 pts)</w:t>
      </w:r>
    </w:p>
    <w:bookmarkStart w:id="26" w:name="part-a-10-pts"/>
    <w:p>
      <w:pPr>
        <w:pStyle w:val="Heading3"/>
      </w:pPr>
      <w:r>
        <w:t xml:space="preserve">Part A (10 pts)</w:t>
      </w:r>
    </w:p>
    <w:p>
      <w:pPr>
        <w:pStyle w:val="FirstParagraph"/>
      </w:pPr>
      <w:r>
        <w:t xml:space="preserve">For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at frequencies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(summing to 1), enumerate the possible haplotype pairs consistent with each unphased genotype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Show that only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ambiguous with two possible pairs: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.</w:t>
      </w:r>
    </w:p>
    <w:bookmarkEnd w:id="26"/>
    <w:bookmarkStart w:id="27" w:name="part-b-10-pts-1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 </w:t>
      </w:r>
      <w:r>
        <w:t xml:space="preserve">individuals from true haplotype frequencies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0.10</m:t>
            </m:r>
            <m:r>
              <m:rPr>
                <m:sty m:val="p"/>
              </m:rPr>
              <m:t>,</m:t>
            </m:r>
            <m:r>
              <m:t>0.25</m:t>
            </m:r>
            <m:r>
              <m:rPr>
                <m:sty m:val="p"/>
              </m:rPr>
              <m:t>,</m:t>
            </m:r>
            <m:r>
              <m:t>0.25</m:t>
            </m:r>
          </m:e>
        </m:d>
      </m:oMath>
      <w:r>
        <w:t xml:space="preserve"> </w:t>
      </w:r>
      <w:r>
        <w:t xml:space="preserve">and estimate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via EM from a uniform start. Report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and absolute errors</w:t>
      </w:r>
      <w:r>
        <w:t xml:space="preserve"> </w:t>
      </w:r>
      <m:oMath>
        <m:d>
          <m:dPr>
            <m:begChr m:val="|"/>
            <m:sepChr m:val=""/>
            <m:endChr m:val="|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⋆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Note that the E‑step weights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are proportional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 and the M‑step update is</w:t>
      </w:r>
      <w:r>
        <w:t xml:space="preserve"> </w:t>
      </w:r>
      <m:oMath>
        <m:sSup>
          <m:e>
            <m:r>
              <m:t>p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r>
          <m:rPr>
            <m:nor/>
            <m:sty m:val="p"/>
          </m:rPr>
          <m:t>(expected hap counts)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Here is a sample R code snippet to get you started: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p_true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helper: draw N unordered haplotype pairs, then make unphased genotypes (g1,g2)</w:t>
      </w:r>
      <w:r>
        <w:br/>
      </w:r>
      <w:r>
        <w:rPr>
          <w:rStyle w:val="NormalTok"/>
        </w:rPr>
        <w:t xml:space="preserve">draw_genotypes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p)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haplotypes to allele counts (B allele) at SNP1, SNP2</w:t>
      </w:r>
      <w:r>
        <w:br/>
      </w:r>
      <w:r>
        <w:rPr>
          <w:rStyle w:val="NormalTok"/>
        </w:rPr>
        <w:t xml:space="preserve">  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hap1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hap2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H[hap1, 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H[hap2, ] </w:t>
      </w:r>
      <w:r>
        <w:rPr>
          <w:rStyle w:val="CommentTok"/>
        </w:rPr>
        <w:t xml:space="preserve"># N x 2 matrix with entries in {0,1,2}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data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draw_genotypes</w:t>
      </w:r>
      <w:r>
        <w:rPr>
          <w:rStyle w:val="NormalTok"/>
        </w:rPr>
        <w:t xml:space="preserve">(N, p_true)</w:t>
      </w:r>
    </w:p>
    <w:bookmarkEnd w:id="27"/>
    <w:bookmarkStart w:id="28" w:name="part-c-5-pts"/>
    <w:p>
      <w:pPr>
        <w:pStyle w:val="Heading3"/>
      </w:pPr>
      <w:r>
        <w:t xml:space="preserve">Part C (5 pts)</w:t>
      </w:r>
    </w:p>
    <w:p>
      <w:pPr>
        <w:pStyle w:val="FirstParagraph"/>
      </w:pPr>
      <w:r>
        <w:t xml:space="preserve">Compute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 Report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1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1</m:t>
                    </m:r>
                  </m:sub>
                </m:sSub>
              </m:e>
            </m:d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2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2</m:t>
                    </m:r>
                  </m:sub>
                </m:sSub>
              </m:e>
            </m:d>
          </m:e>
        </m:d>
      </m:oMath>
      <w:r>
        <w:t xml:space="preserve">. Comment on how LD would affect single‑marker association at either SNP.</w:t>
      </w:r>
    </w:p>
    <w:bookmarkEnd w:id="28"/>
    <w:bookmarkEnd w:id="29"/>
    <w:bookmarkStart w:id="32" w:name="Xcbf32da0e1eae02cf50bf46697757062df705ce"/>
    <w:p>
      <w:pPr>
        <w:pStyle w:val="Heading2"/>
      </w:pPr>
      <w:r>
        <w:t xml:space="preserve">Problem 4: Single‑marker association with QC and LD attenuation (25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2000</m:t>
        </m:r>
      </m:oMath>
      <w:r>
        <w:t xml:space="preserve"> </w:t>
      </w:r>
      <w:r>
        <w:t xml:space="preserve">unrelated individuals. Let a causal biallelic SNP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 </w:t>
      </w:r>
      <w:r>
        <w:t xml:space="preserve">and generate a quantitative trait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with additive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0.50</m:t>
        </m:r>
      </m:oMath>
      <w:r>
        <w:t xml:space="preserve"> </w:t>
      </w:r>
      <w:r>
        <w:t xml:space="preserve">(per allele) and noise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Let a tag SNP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in LD with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corr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and both are in HWE. 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.</w:t>
      </w:r>
    </w:p>
    <w:bookmarkStart w:id="30" w:name="part-a-15-pts-1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Generate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by first simulating haplotypes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with a chosen LD structure that yields</w:t>
      </w:r>
      <w:r>
        <w:t xml:space="preserve"> </w:t>
      </w:r>
      <m:oMath>
        <m:r>
          <m:t>r</m:t>
        </m:r>
        <m:r>
          <m:rPr>
            <m:sty m:val="p"/>
          </m:rPr>
          <m:t>≈</m:t>
        </m:r>
        <m:r>
          <m:t>0.8</m:t>
        </m:r>
      </m:oMath>
      <w:r>
        <w:t xml:space="preserve">, then form genotypes 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G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ϵ</m:t>
        </m:r>
      </m:oMath>
      <w:r>
        <w:t xml:space="preserve">. Fit simple linear models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 report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T</m:t>
            </m:r>
          </m:sub>
        </m:sSub>
      </m:oMath>
      <w:r>
        <w:t xml:space="preserve">, alongside their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intervals.</w:t>
      </w:r>
    </w:p>
    <w:bookmarkEnd w:id="30"/>
    <w:bookmarkStart w:id="31" w:name="part-b-10-pts-2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Introduce a basic QC step: test HWE in the controls of a case–control subsample formed by thresholding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at its 80th percentile to define cases (cases are the top 20% of</w:t>
      </w:r>
      <w:r>
        <w:t xml:space="preserve"> </w:t>
      </w:r>
      <m:oMath>
        <m:r>
          <m:t>Y</m:t>
        </m:r>
      </m:oMath>
      <w:r>
        <w:t xml:space="preserve">). Compute an exact or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HWE p‑value in controls for</w:t>
      </w:r>
      <w:r>
        <w:t xml:space="preserve"> </w:t>
      </w:r>
      <m:oMath>
        <m:r>
          <m:t>T</m:t>
        </m:r>
      </m:oMath>
      <w:r>
        <w:t xml:space="preserve">; state whether you would flag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using a threshold of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and why QC is typically done in controls only.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/>
  <cp:keywords/>
  <dcterms:created xsi:type="dcterms:W3CDTF">2025-10-08T13:20:31Z</dcterms:created>
  <dcterms:modified xsi:type="dcterms:W3CDTF">2025-10-08T13:20:31Z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