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 Project — Open GWAS/Population Genetics Analysis</w:t>
      </w:r>
    </w:p>
    <w:p>
      <w:pPr>
        <w:pStyle w:val="Subtitle"/>
      </w:pPr>
      <w:r>
        <w:t xml:space="preserve">PUBH 8878</w:t>
      </w:r>
    </w:p>
    <w:bookmarkStart w:id="20" w:name="purpose"/>
    <w:p>
      <w:pPr>
        <w:pStyle w:val="Heading2"/>
      </w:pPr>
      <w:r>
        <w:t xml:space="preserve">Purpose</w:t>
      </w:r>
    </w:p>
    <w:p>
      <w:pPr>
        <w:pStyle w:val="Compact"/>
        <w:numPr>
          <w:ilvl w:val="0"/>
          <w:numId w:val="1001"/>
        </w:numPr>
      </w:pPr>
      <w:r>
        <w:t xml:space="preserve">Analyze real genetic data using methods from the course. Choose one of the tracks below (or propose your own) and produce a succinct, reproducible analysis using a public dataset.</w:t>
      </w:r>
    </w:p>
    <w:p>
      <w:pPr>
        <w:pStyle w:val="Compact"/>
        <w:numPr>
          <w:ilvl w:val="0"/>
          <w:numId w:val="1001"/>
        </w:numPr>
      </w:pPr>
      <w:r>
        <w:t xml:space="preserve">This project emphasizes scientific reasoning, correct statistical practice, clear communication, and reproducible code. It is intentionally open‑ended: depth &gt; breadth.</w:t>
      </w:r>
    </w:p>
    <w:bookmarkEnd w:id="20"/>
    <w:bookmarkStart w:id="21" w:name="deliverables"/>
    <w:p>
      <w:pPr>
        <w:pStyle w:val="Heading2"/>
      </w:pPr>
      <w:r>
        <w:t xml:space="preserve">Deliverables</w:t>
      </w:r>
    </w:p>
    <w:p>
      <w:pPr>
        <w:pStyle w:val="Compact"/>
        <w:numPr>
          <w:ilvl w:val="0"/>
          <w:numId w:val="1002"/>
        </w:numPr>
      </w:pPr>
      <w:r>
        <w:t xml:space="preserve">Project proposal (approx. 1 page): question(s), dataset(s), methods, risks/mitigations, expected outputs.</w:t>
      </w:r>
      <w:r>
        <w:t xml:space="preserve"> </w:t>
      </w:r>
      <w:r>
        <w:rPr>
          <w:b/>
          <w:bCs/>
        </w:rPr>
        <w:t xml:space="preserve">Due: Wednesday, October 15th by 11:59pm.</w:t>
      </w:r>
    </w:p>
    <w:p>
      <w:pPr>
        <w:pStyle w:val="Compact"/>
        <w:numPr>
          <w:ilvl w:val="0"/>
          <w:numId w:val="1002"/>
        </w:numPr>
      </w:pPr>
      <w:r>
        <w:t xml:space="preserve">Final report (8–12 pages, PDF only): background and question, data, methods, results, limitations, references.</w:t>
      </w:r>
    </w:p>
    <w:p>
      <w:pPr>
        <w:pStyle w:val="Compact"/>
        <w:numPr>
          <w:ilvl w:val="0"/>
          <w:numId w:val="1002"/>
        </w:numPr>
      </w:pPr>
      <w:r>
        <w:t xml:space="preserve">Reproducible materials: a self‑contained folder or repo with your</w:t>
      </w:r>
      <w:r>
        <w:t xml:space="preserve"> </w:t>
      </w:r>
      <w:r>
        <w:rPr>
          <w:rStyle w:val="VerbatimChar"/>
        </w:rPr>
        <w:t xml:space="preserve">.qmd</w:t>
      </w:r>
      <w:r>
        <w:t xml:space="preserve">/R scripts, environment notes, and seeds. Include a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with run instructions.</w:t>
      </w:r>
    </w:p>
    <w:p>
      <w:pPr>
        <w:pStyle w:val="Compact"/>
        <w:numPr>
          <w:ilvl w:val="0"/>
          <w:numId w:val="1002"/>
        </w:numPr>
      </w:pPr>
      <w:r>
        <w:t xml:space="preserve">Optional: 8–10 minute in‑class or recorded talk with 2–3 slides of key results.</w:t>
      </w:r>
    </w:p>
    <w:bookmarkEnd w:id="21"/>
    <w:bookmarkStart w:id="22" w:name="evaluation-20-of-course-grade"/>
    <w:p>
      <w:pPr>
        <w:pStyle w:val="Heading2"/>
      </w:pPr>
      <w:r>
        <w:t xml:space="preserve">Evaluation (20% of course grade)</w:t>
      </w:r>
    </w:p>
    <w:p>
      <w:pPr>
        <w:pStyle w:val="Compact"/>
        <w:numPr>
          <w:ilvl w:val="0"/>
          <w:numId w:val="1003"/>
        </w:numPr>
      </w:pPr>
      <w:r>
        <w:t xml:space="preserve">Clarity and scope (20%): well‑posed question; appropriate scope for time/resources.</w:t>
      </w:r>
    </w:p>
    <w:p>
      <w:pPr>
        <w:pStyle w:val="Compact"/>
        <w:numPr>
          <w:ilvl w:val="0"/>
          <w:numId w:val="1003"/>
        </w:numPr>
      </w:pPr>
      <w:r>
        <w:t xml:space="preserve">Methods and correctness (35%): sound statistical modeling, assumptions stated, correct inference, sensible QC.</w:t>
      </w:r>
    </w:p>
    <w:p>
      <w:pPr>
        <w:pStyle w:val="Compact"/>
        <w:numPr>
          <w:ilvl w:val="0"/>
          <w:numId w:val="1003"/>
        </w:numPr>
      </w:pPr>
      <w:r>
        <w:t xml:space="preserve">Reproducibility (20%): organized code; seeds; instructions; figures regenerate.</w:t>
      </w:r>
    </w:p>
    <w:p>
      <w:pPr>
        <w:pStyle w:val="Compact"/>
        <w:numPr>
          <w:ilvl w:val="0"/>
          <w:numId w:val="1003"/>
        </w:numPr>
      </w:pPr>
      <w:r>
        <w:t xml:space="preserve">Interpretation and communication (20%): figures/tables support claims; limitations; ethical awareness.</w:t>
      </w:r>
    </w:p>
    <w:p>
      <w:pPr>
        <w:pStyle w:val="Compact"/>
        <w:numPr>
          <w:ilvl w:val="0"/>
          <w:numId w:val="1003"/>
        </w:numPr>
      </w:pPr>
      <w:r>
        <w:t xml:space="preserve">Professionalism (5%): organization, writing, and citation quality.</w:t>
      </w:r>
    </w:p>
    <w:bookmarkEnd w:id="22"/>
    <w:bookmarkStart w:id="23" w:name="choose-a-track-nonexhaustive"/>
    <w:p>
      <w:pPr>
        <w:pStyle w:val="Heading2"/>
      </w:pPr>
      <w:r>
        <w:t xml:space="preserve">Choose a Track (non‑exhaustive)</w:t>
      </w:r>
    </w:p>
    <w:p>
      <w:pPr>
        <w:pStyle w:val="Compact"/>
        <w:numPr>
          <w:ilvl w:val="0"/>
          <w:numId w:val="1004"/>
        </w:numPr>
      </w:pPr>
      <w:r>
        <w:t xml:space="preserve">Track A — Secondary GWAS analysis (summary statistics): pick one trait and perform quality checks (QQ/λGC), Manhattan plot, locus zoom(s), gene/annotation enrichment, and short literature triangulation. Optional: SNP‑heritability via LD Score Regression; cross‑trait genetic correlation.</w:t>
      </w:r>
    </w:p>
    <w:p>
      <w:pPr>
        <w:pStyle w:val="Compact"/>
        <w:numPr>
          <w:ilvl w:val="0"/>
          <w:numId w:val="1004"/>
        </w:numPr>
      </w:pPr>
      <w:r>
        <w:t xml:space="preserve">Track B — Population structure and diversity: PCA/UMAP on a reference genotype panel; compute F_ST between populations; visualize allele frequency spectra; explore LD decay. Optional: ADMIXTURE/LEA ancestry components and interpretation caveats.</w:t>
      </w:r>
    </w:p>
    <w:p>
      <w:pPr>
        <w:pStyle w:val="Compact"/>
        <w:numPr>
          <w:ilvl w:val="0"/>
          <w:numId w:val="1004"/>
        </w:numPr>
      </w:pPr>
      <w:r>
        <w:t xml:space="preserve">Track C — Causal inference with two‑sample Mendelian randomization: select a well‑powered exposure/outcome with strong instruments; run multiple MR estimators; perform sensitivity and heterogeneity checks; discuss assumptions and violations.</w:t>
      </w:r>
    </w:p>
    <w:p>
      <w:pPr>
        <w:pStyle w:val="Compact"/>
        <w:numPr>
          <w:ilvl w:val="0"/>
          <w:numId w:val="1004"/>
        </w:numPr>
      </w:pPr>
      <w:r>
        <w:t xml:space="preserve">Track D — Fine‑mapping or colocalization: focus on 1–2 loci; use LD from a reference panel; apply SuSiE/FINEMAP; or test GWAS–eQTL colocalization for a tissue of interest.</w:t>
      </w:r>
    </w:p>
    <w:p>
      <w:pPr>
        <w:pStyle w:val="Compact"/>
        <w:numPr>
          <w:ilvl w:val="0"/>
          <w:numId w:val="1004"/>
        </w:numPr>
      </w:pPr>
      <w:r>
        <w:t xml:space="preserve">Track E — Simulation with real LD: simulate phenotypes on a real genotype panel (e.g., chromosome 22) to study power, inflation, or PRS performance under different architectures.</w:t>
      </w:r>
    </w:p>
    <w:p>
      <w:pPr>
        <w:pStyle w:val="FirstParagraph"/>
      </w:pPr>
      <w:r>
        <w:t xml:space="preserve">Ethics &amp; Responsible Use</w:t>
      </w:r>
    </w:p>
    <w:p>
      <w:pPr>
        <w:pStyle w:val="Compact"/>
        <w:numPr>
          <w:ilvl w:val="0"/>
          <w:numId w:val="1005"/>
        </w:numPr>
      </w:pPr>
      <w:r>
        <w:t xml:space="preserve">Use population labels with care; avoid essentialist interpretations. Discuss portability and fairness when comparing groups. Do not attempt re‑identification. Respect each dataset’s license/terms.</w:t>
      </w:r>
    </w:p>
    <w:p>
      <w:pPr>
        <w:pStyle w:val="FirstParagraph"/>
      </w:pPr>
      <w:r>
        <w:t xml:space="preserve">Data Sources (curated)</w:t>
      </w:r>
    </w:p>
    <w:p>
      <w:pPr>
        <w:pStyle w:val="Compact"/>
        <w:numPr>
          <w:ilvl w:val="0"/>
          <w:numId w:val="1006"/>
        </w:numPr>
      </w:pPr>
      <w:r>
        <w:t xml:space="preserve">GWAS Catalog (NHGRI–EBI): comprehensive registry of GWAS with summary statistics where available; good for trait curation and downloading per‑study results. https://www.ebi.ac.uk/gwas/</w:t>
      </w:r>
    </w:p>
    <w:p>
      <w:pPr>
        <w:pStyle w:val="Compact"/>
        <w:numPr>
          <w:ilvl w:val="0"/>
          <w:numId w:val="1006"/>
        </w:numPr>
      </w:pPr>
      <w:r>
        <w:t xml:space="preserve">OpenGWAS (MRC IEU): programmatic access to &gt;40k GWAS summary-stat datasets; integrates well with R packages</w:t>
      </w:r>
      <w:r>
        <w:t xml:space="preserve"> </w:t>
      </w:r>
      <w:r>
        <w:rPr>
          <w:rStyle w:val="VerbatimChar"/>
        </w:rPr>
        <w:t xml:space="preserve">ieugwasr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TwoSampleMR</w:t>
      </w:r>
      <w:r>
        <w:t xml:space="preserve">. https://gwas.mrcieu.ac.uk/</w:t>
      </w:r>
    </w:p>
    <w:p>
      <w:pPr>
        <w:pStyle w:val="Compact"/>
        <w:numPr>
          <w:ilvl w:val="0"/>
          <w:numId w:val="1006"/>
        </w:numPr>
      </w:pPr>
      <w:r>
        <w:t xml:space="preserve">Pan-UK Biobank (Broad): pan‑ancestry GWAS results across thousands of phenotypes with interactive PheWeb and bulk download. https://pan.ukbb.broadinstitute.org/</w:t>
      </w:r>
    </w:p>
    <w:p>
      <w:pPr>
        <w:pStyle w:val="Compact"/>
        <w:numPr>
          <w:ilvl w:val="0"/>
          <w:numId w:val="1006"/>
        </w:numPr>
      </w:pPr>
      <w:r>
        <w:t xml:space="preserve">FinnGen: large disease‑focused GWAS summary stats and phenotype documentation. https://www.finngen.fi/en/access_results</w:t>
      </w:r>
    </w:p>
    <w:p>
      <w:pPr>
        <w:pStyle w:val="Compact"/>
        <w:numPr>
          <w:ilvl w:val="0"/>
          <w:numId w:val="1006"/>
        </w:numPr>
      </w:pPr>
      <w:r>
        <w:t xml:space="preserve">Biobank Japan: GWAS results across many traits; multi‑ancestry comparison opportunities. https://pheweb.jp/</w:t>
      </w:r>
    </w:p>
    <w:p>
      <w:pPr>
        <w:pStyle w:val="Compact"/>
        <w:numPr>
          <w:ilvl w:val="0"/>
          <w:numId w:val="1006"/>
        </w:numPr>
      </w:pPr>
      <w:r>
        <w:t xml:space="preserve">GIANT Consortium: anthropometric trait GWAS (e.g., height, BMI) — classic, clean testbeds. https://portals.broadinstitute.org/collaboration/giant/index.php/GIANT_consortium</w:t>
      </w:r>
    </w:p>
    <w:p>
      <w:pPr>
        <w:pStyle w:val="Compact"/>
        <w:numPr>
          <w:ilvl w:val="0"/>
          <w:numId w:val="1006"/>
        </w:numPr>
      </w:pPr>
      <w:r>
        <w:t xml:space="preserve">Psychiatric Genomics Consortium (PGC): summary stats for psychiatric disorders; read and follow data use terms. https://www.med.unc.edu/pgc/download-results/</w:t>
      </w:r>
    </w:p>
    <w:p>
      <w:pPr>
        <w:pStyle w:val="Compact"/>
        <w:numPr>
          <w:ilvl w:val="0"/>
          <w:numId w:val="1006"/>
        </w:numPr>
      </w:pPr>
      <w:r>
        <w:t xml:space="preserve">1000 Genomes Project (IGSR): open, phased whole‑genome reference panel with population labels; ideal for PCA, F_ST, LD, and as an LD reference. https://www.internationalgenome.org/data</w:t>
      </w:r>
    </w:p>
    <w:p>
      <w:pPr>
        <w:pStyle w:val="Compact"/>
        <w:numPr>
          <w:ilvl w:val="0"/>
          <w:numId w:val="1006"/>
        </w:numPr>
      </w:pPr>
      <w:r>
        <w:t xml:space="preserve">HGDP + 1000G combined callset (gnomAD): harmonized WGS panel for global structure analyses (VCF/PLINK). https://gnomad.broadinstitute.org/downloads#v3-hgdp-1kg</w:t>
      </w:r>
    </w:p>
    <w:p>
      <w:pPr>
        <w:pStyle w:val="Compact"/>
        <w:numPr>
          <w:ilvl w:val="0"/>
          <w:numId w:val="1006"/>
        </w:numPr>
      </w:pPr>
      <w:r>
        <w:t xml:space="preserve">gnomAD v4: aggregated exome/genome allele frequencies; excellent for frequency‑based analyses and QC (not individual‑level genotypes). https://gnomad.broadinstitute.org/downloads</w:t>
      </w:r>
    </w:p>
    <w:p>
      <w:pPr>
        <w:pStyle w:val="Compact"/>
        <w:numPr>
          <w:ilvl w:val="0"/>
          <w:numId w:val="1006"/>
        </w:numPr>
      </w:pPr>
      <w:r>
        <w:t xml:space="preserve">GTEx/eQTL resources: eQTL Catalogue and GTEx v8 summary statistics for colocalization. https://www.ebi.ac.uk/eqtl/ and https://gtexportal.org/home/datasets</w:t>
      </w:r>
    </w:p>
    <w:p>
      <w:pPr>
        <w:pStyle w:val="Compact"/>
        <w:numPr>
          <w:ilvl w:val="0"/>
          <w:numId w:val="1006"/>
        </w:numPr>
      </w:pPr>
      <w:r>
        <w:t xml:space="preserve">LD reference (for LDSC/fine‑mapping): precomputed 1000G LD scores and baseline annotations. https://data.broadinstitute.org/alkesgroup/LDSCORE/ and https://github.com/bulik/ldsc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— Open GWAS/Population Genetics Analysis</dc:title>
  <dc:creator/>
  <cp:keywords/>
  <dcterms:created xsi:type="dcterms:W3CDTF">2025-10-03T20:11:14Z</dcterms:created>
  <dcterms:modified xsi:type="dcterms:W3CDTF">2025-10-03T20:11:14Z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https://www.zotero.org/styles/biostatistics</vt:lpwstr>
  </property>
  <property fmtid="{D5CDD505-2E9C-101B-9397-08002B2CF9AE}" pid="5" name="draft">
    <vt:lpwstr>True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PUBH 8878</vt:lpwstr>
  </property>
  <property fmtid="{D5CDD505-2E9C-101B-9397-08002B2CF9AE}" pid="11" name="toc-title">
    <vt:lpwstr>Table of contents</vt:lpwstr>
  </property>
</Properties>
</file>