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 Project</w:t>
      </w:r>
    </w:p>
    <w:p>
      <w:pPr>
        <w:pStyle w:val="Subtitle"/>
      </w:pPr>
      <w:r>
        <w:t xml:space="preserve">PUBH 8878, Statistical Genetics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Analyze real genetic data using methods from the course. Choose one of the tracks below (or propose your own) and produce a succinct, reproducible analysis using a public dataset.</w:t>
      </w:r>
    </w:p>
    <w:p>
      <w:pPr>
        <w:pStyle w:val="Compact"/>
        <w:numPr>
          <w:ilvl w:val="0"/>
          <w:numId w:val="1001"/>
        </w:numPr>
      </w:pPr>
      <w:r>
        <w:t xml:space="preserve">This project emphasizes scientific reasoning, correct statistical practice, clear communication, and reproducible code. It is intentionally open‑ended.</w:t>
      </w:r>
    </w:p>
    <w:bookmarkEnd w:id="20"/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2"/>
        </w:numPr>
      </w:pPr>
      <w:r>
        <w:t xml:space="preserve">Project proposal (approx. 1 page): question(s), dataset(s), methods, risks/mitigations, expected outputs.</w:t>
      </w:r>
      <w:r>
        <w:t xml:space="preserve"> </w:t>
      </w:r>
      <w:r>
        <w:rPr>
          <w:b/>
          <w:bCs/>
        </w:rPr>
        <w:t xml:space="preserve">Due: Wednesday, October 15th by 11:59pm.</w:t>
      </w:r>
    </w:p>
    <w:p>
      <w:pPr>
        <w:pStyle w:val="Compact"/>
        <w:numPr>
          <w:ilvl w:val="1"/>
          <w:numId w:val="1003"/>
        </w:numPr>
      </w:pPr>
      <w:r>
        <w:t xml:space="preserve">Ensure that you are able to access/download your proposed dataset(s)</w:t>
      </w:r>
    </w:p>
    <w:p>
      <w:pPr>
        <w:pStyle w:val="Compact"/>
        <w:numPr>
          <w:ilvl w:val="0"/>
          <w:numId w:val="1002"/>
        </w:numPr>
      </w:pPr>
      <w:r>
        <w:t xml:space="preserve">Final report (8–12 pages, PDF only): format details below.</w:t>
      </w:r>
      <w:r>
        <w:t xml:space="preserve"> </w:t>
      </w:r>
      <w:r>
        <w:rPr>
          <w:b/>
          <w:bCs/>
        </w:rPr>
        <w:t xml:space="preserve">Due: Wednesday, November 12th by 11:59pm.</w:t>
      </w:r>
    </w:p>
    <w:p>
      <w:pPr>
        <w:pStyle w:val="Compact"/>
        <w:numPr>
          <w:ilvl w:val="1"/>
          <w:numId w:val="1004"/>
        </w:numPr>
      </w:pPr>
      <w:r>
        <w:t xml:space="preserve">Reproducible materials: a self‑contained folder or repo with your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/R scripts, environment notes, and seeds. Include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run instructions.</w:t>
      </w:r>
    </w:p>
    <w:p>
      <w:pPr>
        <w:pStyle w:val="Compact"/>
        <w:numPr>
          <w:ilvl w:val="0"/>
          <w:numId w:val="1002"/>
        </w:numPr>
      </w:pPr>
      <w:r>
        <w:t xml:space="preserve">8–10 minute in‑class presentation of key results on</w:t>
      </w:r>
      <w:r>
        <w:t xml:space="preserve"> </w:t>
      </w:r>
      <w:r>
        <w:rPr>
          <w:b/>
          <w:bCs/>
        </w:rPr>
        <w:t xml:space="preserve">Wednesday, November 12th</w:t>
      </w:r>
    </w:p>
    <w:bookmarkEnd w:id="21"/>
    <w:bookmarkStart w:id="24" w:name="format"/>
    <w:p>
      <w:pPr>
        <w:pStyle w:val="Heading2"/>
      </w:pPr>
      <w:r>
        <w:t xml:space="preserve">Format</w:t>
      </w:r>
    </w:p>
    <w:p>
      <w:pPr>
        <w:pStyle w:val="FirstParagraph"/>
      </w:pPr>
      <w:r>
        <w:t xml:space="preserve">We will follow the format of the journal</w:t>
      </w:r>
      <w:r>
        <w:t xml:space="preserve"> </w:t>
      </w:r>
      <w:hyperlink r:id="rId22">
        <w:r>
          <w:rPr>
            <w:rStyle w:val="Hyperlink"/>
          </w:rPr>
          <w:t xml:space="preserve">Genetics</w:t>
        </w:r>
      </w:hyperlink>
      <w:r>
        <w:t xml:space="preserve">. An Overleaf template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 The paper should adhere to the following:</w:t>
      </w:r>
    </w:p>
    <w:p>
      <w:pPr>
        <w:pStyle w:val="Compact"/>
        <w:numPr>
          <w:ilvl w:val="0"/>
          <w:numId w:val="1005"/>
        </w:numPr>
      </w:pPr>
      <w:r>
        <w:t xml:space="preserve">Begin the paper with an original title, followed by your name, the course, and the date</w:t>
      </w:r>
    </w:p>
    <w:p>
      <w:pPr>
        <w:pStyle w:val="Compact"/>
        <w:numPr>
          <w:ilvl w:val="0"/>
          <w:numId w:val="1005"/>
        </w:numPr>
      </w:pPr>
      <w:r>
        <w:t xml:space="preserve">The paper should have the following sections:</w:t>
      </w:r>
    </w:p>
    <w:p>
      <w:pPr>
        <w:pStyle w:val="Compact"/>
        <w:numPr>
          <w:ilvl w:val="1"/>
          <w:numId w:val="1006"/>
        </w:numPr>
      </w:pPr>
      <w:r>
        <w:t xml:space="preserve">Introduction: state the general problem or issue you are addressing.</w:t>
      </w:r>
    </w:p>
    <w:p>
      <w:pPr>
        <w:pStyle w:val="Compact"/>
        <w:numPr>
          <w:ilvl w:val="1"/>
          <w:numId w:val="1006"/>
        </w:numPr>
      </w:pPr>
      <w:r>
        <w:t xml:space="preserve">Materials and Methods: describe the methods used to obtain data, analyze data, and to test hypotheses associated with the data.</w:t>
      </w:r>
    </w:p>
    <w:p>
      <w:pPr>
        <w:pStyle w:val="Compact"/>
        <w:numPr>
          <w:ilvl w:val="1"/>
          <w:numId w:val="1006"/>
        </w:numPr>
      </w:pPr>
      <w:r>
        <w:t xml:space="preserve">Results: describe the results of the data analysis and hypothesis testing.</w:t>
      </w:r>
    </w:p>
    <w:p>
      <w:pPr>
        <w:pStyle w:val="Compact"/>
        <w:numPr>
          <w:ilvl w:val="1"/>
          <w:numId w:val="1006"/>
        </w:numPr>
      </w:pPr>
      <w:r>
        <w:t xml:space="preserve">Discussion: here you draw conclusions about the problem you studied; this section should include a synthesis of ideas.</w:t>
      </w:r>
    </w:p>
    <w:p>
      <w:pPr>
        <w:pStyle w:val="Compact"/>
        <w:numPr>
          <w:ilvl w:val="1"/>
          <w:numId w:val="1006"/>
        </w:numPr>
      </w:pPr>
      <w:r>
        <w:t xml:space="preserve">References: List the relevant literature you have read and used to support your arguments/analyze your data. The literature cited should be in the format of the journal Genetics.</w:t>
      </w:r>
    </w:p>
    <w:bookmarkEnd w:id="24"/>
    <w:bookmarkStart w:id="25" w:name="evaluation-20-of-course-grade"/>
    <w:p>
      <w:pPr>
        <w:pStyle w:val="Heading2"/>
      </w:pPr>
      <w:r>
        <w:t xml:space="preserve">Evaluation (20% of course grade)</w:t>
      </w:r>
    </w:p>
    <w:p>
      <w:pPr>
        <w:pStyle w:val="Compact"/>
        <w:numPr>
          <w:ilvl w:val="0"/>
          <w:numId w:val="1007"/>
        </w:numPr>
      </w:pPr>
      <w:r>
        <w:t xml:space="preserve">Clarity and scope (20%): well‑posed question, appropriate scope for time/resources.</w:t>
      </w:r>
    </w:p>
    <w:p>
      <w:pPr>
        <w:pStyle w:val="Compact"/>
        <w:numPr>
          <w:ilvl w:val="0"/>
          <w:numId w:val="1007"/>
        </w:numPr>
      </w:pPr>
      <w:r>
        <w:t xml:space="preserve">Methods and correctness (35%): sound statistical modeling, assumptions stated, correct inference, sensible QC.</w:t>
      </w:r>
    </w:p>
    <w:p>
      <w:pPr>
        <w:pStyle w:val="Compact"/>
        <w:numPr>
          <w:ilvl w:val="0"/>
          <w:numId w:val="1007"/>
        </w:numPr>
      </w:pPr>
      <w:r>
        <w:t xml:space="preserve">Interpretation and communication (25%): figures/tables support claims, limitations, ethical awareness.</w:t>
      </w:r>
    </w:p>
    <w:p>
      <w:pPr>
        <w:pStyle w:val="Compact"/>
        <w:numPr>
          <w:ilvl w:val="0"/>
          <w:numId w:val="1007"/>
        </w:numPr>
      </w:pPr>
      <w:r>
        <w:t xml:space="preserve">Reproducibility (20%): organized code, seeds, instructions, figures regenerate.</w:t>
      </w:r>
    </w:p>
    <w:bookmarkEnd w:id="25"/>
    <w:bookmarkStart w:id="26" w:name="example-topics"/>
    <w:p>
      <w:pPr>
        <w:pStyle w:val="Heading2"/>
      </w:pPr>
      <w:r>
        <w:t xml:space="preserve">Example Topics</w:t>
      </w:r>
    </w:p>
    <w:p>
      <w:pPr>
        <w:pStyle w:val="Compact"/>
        <w:numPr>
          <w:ilvl w:val="0"/>
          <w:numId w:val="1008"/>
        </w:numPr>
      </w:pPr>
      <w:r>
        <w:t xml:space="preserve">Primary GWAS analysis (individual-level data): perform QC, PCA, GWAS, and post-GWAS analyses. Data is typically available for non-human model organisms.</w:t>
      </w:r>
    </w:p>
    <w:p>
      <w:pPr>
        <w:pStyle w:val="Compact"/>
        <w:numPr>
          <w:ilvl w:val="0"/>
          <w:numId w:val="1008"/>
        </w:numPr>
      </w:pPr>
      <w:r>
        <w:t xml:space="preserve">Secondary GWAS analysis (summary statistics): pick one trait and perform quality checks, Manhattan plot, locus zoom(s), gene/annotation enrichment, and short literature triangulation, SNP‑heritability via LD Score Regression, cross‑trait genetic correlation.</w:t>
      </w:r>
    </w:p>
    <w:p>
      <w:pPr>
        <w:pStyle w:val="Compact"/>
        <w:numPr>
          <w:ilvl w:val="0"/>
          <w:numId w:val="1008"/>
        </w:numPr>
      </w:pPr>
      <w:r>
        <w:t xml:space="preserve">Population structure and diversity: PCA/UMAP on a reference genotype panel, compute</w:t>
      </w:r>
      <w:r>
        <w:t xml:space="preserve"> </w:t>
      </w:r>
      <m:oMath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between populations, visualize allele frequency spectra, explore LD decay, ADMIXTURE/LEA ancestry components.</w:t>
      </w:r>
    </w:p>
    <w:p>
      <w:pPr>
        <w:pStyle w:val="Compact"/>
        <w:numPr>
          <w:ilvl w:val="0"/>
          <w:numId w:val="1008"/>
        </w:numPr>
      </w:pPr>
      <w:r>
        <w:t xml:space="preserve">Causal inference with two‑sample Mendelian randomization: select a well‑powered exposure/outcome with strong instruments, run multiple MR estimators, perform sensitivity and heterogeneity checks, discuss assumptions and violations.</w:t>
      </w:r>
    </w:p>
    <w:p>
      <w:pPr>
        <w:pStyle w:val="Compact"/>
        <w:numPr>
          <w:ilvl w:val="0"/>
          <w:numId w:val="1008"/>
        </w:numPr>
      </w:pPr>
      <w:r>
        <w:t xml:space="preserve">Fine‑mapping or colocalization: focus on 1–2 loci, use LD from a reference panel, apply SuSiE/FINEMAP, test GWAS–eQTL colocalization for a tissue of interest.</w:t>
      </w:r>
    </w:p>
    <w:p>
      <w:pPr>
        <w:pStyle w:val="Compact"/>
        <w:numPr>
          <w:ilvl w:val="0"/>
          <w:numId w:val="1008"/>
        </w:numPr>
      </w:pPr>
      <w:r>
        <w:t xml:space="preserve">Simulation with real LD: simulate phenotypes on a real genotype panel (e.g., chromosome 22) to study power, inflation, or PRS performance under different architectures.</w:t>
      </w:r>
    </w:p>
    <w:bookmarkEnd w:id="26"/>
    <w:bookmarkStart w:id="27" w:name="ethics-responsible-use"/>
    <w:p>
      <w:pPr>
        <w:pStyle w:val="Heading2"/>
      </w:pPr>
      <w:r>
        <w:t xml:space="preserve">Ethics &amp; Responsible Use</w:t>
      </w:r>
    </w:p>
    <w:p>
      <w:pPr>
        <w:pStyle w:val="Compact"/>
        <w:numPr>
          <w:ilvl w:val="0"/>
          <w:numId w:val="1009"/>
        </w:numPr>
      </w:pPr>
      <w:r>
        <w:t xml:space="preserve">Use population labels with care</w:t>
      </w:r>
    </w:p>
    <w:p>
      <w:pPr>
        <w:pStyle w:val="Compact"/>
        <w:numPr>
          <w:ilvl w:val="0"/>
          <w:numId w:val="1009"/>
        </w:numPr>
      </w:pPr>
      <w:r>
        <w:t xml:space="preserve">Avoid essentialist interpretations</w:t>
      </w:r>
    </w:p>
    <w:p>
      <w:pPr>
        <w:pStyle w:val="Compact"/>
        <w:numPr>
          <w:ilvl w:val="0"/>
          <w:numId w:val="1009"/>
        </w:numPr>
      </w:pPr>
      <w:r>
        <w:t xml:space="preserve">Discuss portability and fairness when comparing groups</w:t>
      </w:r>
    </w:p>
    <w:p>
      <w:pPr>
        <w:pStyle w:val="Compact"/>
        <w:numPr>
          <w:ilvl w:val="0"/>
          <w:numId w:val="1009"/>
        </w:numPr>
      </w:pPr>
      <w:r>
        <w:t xml:space="preserve">Do not attempt re‑identification</w:t>
      </w:r>
    </w:p>
    <w:p>
      <w:pPr>
        <w:pStyle w:val="Compact"/>
        <w:numPr>
          <w:ilvl w:val="0"/>
          <w:numId w:val="1009"/>
        </w:numPr>
      </w:pPr>
      <w:r>
        <w:t xml:space="preserve">Respect each dataset’s license/terms.</w:t>
      </w:r>
    </w:p>
    <w:bookmarkEnd w:id="27"/>
    <w:bookmarkStart w:id="52" w:name="data-sources-curated"/>
    <w:p>
      <w:pPr>
        <w:pStyle w:val="Heading2"/>
      </w:pPr>
      <w:r>
        <w:t xml:space="preserve">Data Sources (curated)</w:t>
      </w:r>
    </w:p>
    <w:p>
      <w:pPr>
        <w:pStyle w:val="Compact"/>
        <w:numPr>
          <w:ilvl w:val="0"/>
          <w:numId w:val="1010"/>
        </w:numPr>
      </w:pPr>
      <w:hyperlink r:id="rId28">
        <w:r>
          <w:rPr>
            <w:rStyle w:val="Hyperlink"/>
          </w:rPr>
          <w:t xml:space="preserve">GWAS Catalog (NHGRI–EBI)</w:t>
        </w:r>
      </w:hyperlink>
      <w:r>
        <w:t xml:space="preserve">: comprehensive registry of GWAS with summary statistics where available; good for trait curation and downloading per‑study results.</w:t>
      </w:r>
    </w:p>
    <w:p>
      <w:pPr>
        <w:pStyle w:val="Compact"/>
        <w:numPr>
          <w:ilvl w:val="0"/>
          <w:numId w:val="1010"/>
        </w:numPr>
      </w:pPr>
      <w:hyperlink r:id="rId29">
        <w:r>
          <w:rPr>
            <w:rStyle w:val="Hyperlink"/>
          </w:rPr>
          <w:t xml:space="preserve">OpenGWAS (MRC IEU)</w:t>
        </w:r>
      </w:hyperlink>
      <w:r>
        <w:t xml:space="preserve">: programmatic access to &gt;40k GWAS summary-stat datasets; integrates well with R packages</w:t>
      </w:r>
      <w:r>
        <w:t xml:space="preserve"> </w:t>
      </w:r>
      <w:r>
        <w:rPr>
          <w:rStyle w:val="VerbatimChar"/>
        </w:rPr>
        <w:t xml:space="preserve">ieugwasr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TwoSampleMR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hyperlink r:id="rId30">
        <w:r>
          <w:rPr>
            <w:rStyle w:val="Hyperlink"/>
          </w:rPr>
          <w:t xml:space="preserve">Pan-UK Biobank (Broad)</w:t>
        </w:r>
      </w:hyperlink>
      <w:r>
        <w:t xml:space="preserve">: pan‑ancestry GWAS results across thousands of phenotypes with interactive PheWeb and bulk download.</w:t>
      </w:r>
    </w:p>
    <w:p>
      <w:pPr>
        <w:pStyle w:val="Compact"/>
        <w:numPr>
          <w:ilvl w:val="0"/>
          <w:numId w:val="1010"/>
        </w:numPr>
      </w:pPr>
      <w:hyperlink r:id="rId31">
        <w:r>
          <w:rPr>
            <w:rStyle w:val="Hyperlink"/>
          </w:rPr>
          <w:t xml:space="preserve">FinnGen</w:t>
        </w:r>
      </w:hyperlink>
      <w:r>
        <w:t xml:space="preserve">: large disease‑focused GWAS summary stats and phenotype documentation.</w:t>
      </w:r>
    </w:p>
    <w:p>
      <w:pPr>
        <w:pStyle w:val="Compact"/>
        <w:numPr>
          <w:ilvl w:val="0"/>
          <w:numId w:val="1010"/>
        </w:numPr>
      </w:pPr>
      <w:hyperlink r:id="rId32">
        <w:r>
          <w:rPr>
            <w:rStyle w:val="Hyperlink"/>
          </w:rPr>
          <w:t xml:space="preserve">Biobank Japan</w:t>
        </w:r>
      </w:hyperlink>
      <w:r>
        <w:t xml:space="preserve">: GWAS results across many traits; multi‑ancestry comparison opportunities.</w:t>
      </w:r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</w:rPr>
          <w:t xml:space="preserve">GIANT Consortium</w:t>
        </w:r>
      </w:hyperlink>
      <w:r>
        <w:t xml:space="preserve">: anthropometric trait GWAS (e.g., height, BMI) — classic, clean testbeds.</w:t>
      </w:r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</w:rPr>
          <w:t xml:space="preserve">Psychiatric Genomics Consortium (PGC)</w:t>
        </w:r>
      </w:hyperlink>
      <w:r>
        <w:t xml:space="preserve">: summary stats for psychiatric disorders; read and follow data use terms.</w:t>
      </w:r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</w:rPr>
          <w:t xml:space="preserve">1000 Genomes Project (IGSR)</w:t>
        </w:r>
      </w:hyperlink>
      <w:r>
        <w:t xml:space="preserve">: open, phased whole‑genome reference panel with population labels; ideal for PCA, F_ST, LD, and as an LD reference.</w:t>
      </w:r>
    </w:p>
    <w:p>
      <w:pPr>
        <w:pStyle w:val="Compact"/>
        <w:numPr>
          <w:ilvl w:val="0"/>
          <w:numId w:val="1010"/>
        </w:numPr>
      </w:pPr>
      <w:hyperlink r:id="rId36">
        <w:r>
          <w:rPr>
            <w:rStyle w:val="Hyperlink"/>
          </w:rPr>
          <w:t xml:space="preserve">HGDP + 1000G combined callset (gnomAD)</w:t>
        </w:r>
      </w:hyperlink>
      <w:r>
        <w:t xml:space="preserve">: harmonized WGS panel for global structure analyses (VCF/PLINK).</w:t>
      </w:r>
    </w:p>
    <w:p>
      <w:pPr>
        <w:pStyle w:val="Compact"/>
        <w:numPr>
          <w:ilvl w:val="0"/>
          <w:numId w:val="1010"/>
        </w:numPr>
      </w:pPr>
      <w:hyperlink r:id="rId37">
        <w:r>
          <w:rPr>
            <w:rStyle w:val="Hyperlink"/>
          </w:rPr>
          <w:t xml:space="preserve">gnomAD v4</w:t>
        </w:r>
      </w:hyperlink>
      <w:r>
        <w:t xml:space="preserve">: aggregated exome/genome allele frequencies; excellent for frequency‑based analyses and QC (not individual‑level genotypes).</w:t>
      </w:r>
    </w:p>
    <w:p>
      <w:pPr>
        <w:pStyle w:val="Compact"/>
        <w:numPr>
          <w:ilvl w:val="0"/>
          <w:numId w:val="1010"/>
        </w:numPr>
      </w:pPr>
      <w:hyperlink r:id="rId38">
        <w:r>
          <w:rPr>
            <w:rStyle w:val="Hyperlink"/>
          </w:rPr>
          <w:t xml:space="preserve">GTEx/eQTL resources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GTEx v8 summary statistics</w:t>
        </w:r>
      </w:hyperlink>
      <w:r>
        <w:t xml:space="preserve"> </w:t>
      </w:r>
      <w:r>
        <w:t xml:space="preserve">for colocalization.</w:t>
      </w:r>
    </w:p>
    <w:p>
      <w:pPr>
        <w:pStyle w:val="Compact"/>
        <w:numPr>
          <w:ilvl w:val="0"/>
          <w:numId w:val="1010"/>
        </w:numPr>
      </w:pPr>
      <w:hyperlink r:id="rId40">
        <w:r>
          <w:rPr>
            <w:rStyle w:val="Hyperlink"/>
          </w:rPr>
          <w:t xml:space="preserve">LD reference (for LDSC/fine‑mapping)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baseline annotations</w:t>
        </w:r>
      </w:hyperlink>
      <w:r>
        <w:t xml:space="preserve">: precomputed 1000G LD scores.</w:t>
      </w:r>
    </w:p>
    <w:bookmarkStart w:id="51" w:name="X55e1d0351545f0cc157efa1341c9ef6d38116f0"/>
    <w:p>
      <w:pPr>
        <w:pStyle w:val="Heading3"/>
      </w:pPr>
      <w:r>
        <w:t xml:space="preserve">Model‑organism data sources (genotypes + phenotypes where noted)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2">
        <w:r>
          <w:rPr>
            <w:rStyle w:val="Hyperlink"/>
          </w:rPr>
          <w:t xml:space="preserve">Mouse Phenome Database (MPD)</w:t>
        </w:r>
      </w:hyperlink>
      <w:r>
        <w:t xml:space="preserve">: strain, Collaborative Cross (CC), and Diversity Outbred (DO) resources with extensive phenotypes. Måany datasets include genotypes or QTL‑ready files. Good for GWAS/QTL and replication.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3">
        <w:r>
          <w:rPr>
            <w:rStyle w:val="Hyperlink"/>
          </w:rPr>
          <w:t xml:space="preserve">International Mouse Phenotyping Consortium (IMPC)</w:t>
        </w:r>
      </w:hyperlink>
      <w:r>
        <w:t xml:space="preserve">: high‑throughput knockout phenotypes with rich metadata. Best for functional interpretation.</w:t>
      </w:r>
    </w:p>
    <w:p>
      <w:pPr>
        <w:pStyle w:val="Compact"/>
        <w:numPr>
          <w:ilvl w:val="0"/>
          <w:numId w:val="1011"/>
        </w:numPr>
      </w:pPr>
      <w:r>
        <w:t xml:space="preserve">(Mouse)</w:t>
      </w:r>
      <w:r>
        <w:t xml:space="preserve"> </w:t>
      </w:r>
      <w:hyperlink r:id="rId44">
        <w:r>
          <w:rPr>
            <w:rStyle w:val="Hyperlink"/>
          </w:rPr>
          <w:t xml:space="preserve">MGI (Mouse Genome Informatics)</w:t>
        </w:r>
      </w:hyperlink>
      <w:r>
        <w:t xml:space="preserve">: curated QTL/phenotype annotations and cross references.</w:t>
      </w:r>
    </w:p>
    <w:p>
      <w:pPr>
        <w:pStyle w:val="Compact"/>
        <w:numPr>
          <w:ilvl w:val="0"/>
          <w:numId w:val="1011"/>
        </w:numPr>
      </w:pPr>
      <w:r>
        <w:t xml:space="preserve">(Rat)</w:t>
      </w:r>
      <w:r>
        <w:t xml:space="preserve"> </w:t>
      </w:r>
      <w:hyperlink r:id="rId45">
        <w:r>
          <w:rPr>
            <w:rStyle w:val="Hyperlink"/>
          </w:rPr>
          <w:t xml:space="preserve">Rat Genome Database (RGD)</w:t>
        </w:r>
      </w:hyperlink>
      <w:r>
        <w:t xml:space="preserve">: strain genotypes/variants with curated phenotypes, supports QTL/GWAS in rat panels.</w:t>
      </w:r>
    </w:p>
    <w:p>
      <w:pPr>
        <w:pStyle w:val="Compact"/>
        <w:numPr>
          <w:ilvl w:val="0"/>
          <w:numId w:val="1011"/>
        </w:numPr>
      </w:pPr>
      <w:r>
        <w:t xml:space="preserve">(Drosophila)</w:t>
      </w:r>
      <w:r>
        <w:t xml:space="preserve"> </w:t>
      </w:r>
      <w:hyperlink r:id="rId46">
        <w:r>
          <w:rPr>
            <w:rStyle w:val="Hyperlink"/>
          </w:rPr>
          <w:t xml:space="preserve">FlyBase</w:t>
        </w:r>
      </w:hyperlink>
      <w:r>
        <w:t xml:space="preserve">: genome and phenotype annotations, links to population panels and datasets.</w:t>
      </w:r>
    </w:p>
    <w:p>
      <w:pPr>
        <w:pStyle w:val="Compact"/>
        <w:numPr>
          <w:ilvl w:val="0"/>
          <w:numId w:val="1011"/>
        </w:numPr>
      </w:pPr>
      <w:r>
        <w:t xml:space="preserve">(C. elegans)</w:t>
      </w:r>
      <w:r>
        <w:t xml:space="preserve"> </w:t>
      </w:r>
      <w:hyperlink r:id="rId47">
        <w:r>
          <w:rPr>
            <w:rStyle w:val="Hyperlink"/>
          </w:rPr>
          <w:t xml:space="preserve">WormBase</w:t>
        </w:r>
      </w:hyperlink>
      <w:r>
        <w:t xml:space="preserve">: phenotype and functional annotations, pairs well with CeNDR for interpretation.</w:t>
      </w:r>
    </w:p>
    <w:p>
      <w:pPr>
        <w:pStyle w:val="Compact"/>
        <w:numPr>
          <w:ilvl w:val="0"/>
          <w:numId w:val="1011"/>
        </w:numPr>
      </w:pPr>
      <w:r>
        <w:t xml:space="preserve">(Arabidopsis)</w:t>
      </w:r>
      <w:r>
        <w:t xml:space="preserve"> </w:t>
      </w:r>
      <w:hyperlink r:id="rId48">
        <w:r>
          <w:rPr>
            <w:rStyle w:val="Hyperlink"/>
          </w:rPr>
          <w:t xml:space="preserve">AraGWAS Catalog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AraPheno</w:t>
        </w:r>
      </w:hyperlink>
      <w:r>
        <w:t xml:space="preserve">: GWAS results, phenotypes, and links to</w:t>
      </w:r>
      <w:r>
        <w:t xml:space="preserve"> </w:t>
      </w:r>
      <w:hyperlink r:id="rId50">
        <w:r>
          <w:rPr>
            <w:rStyle w:val="Hyperlink"/>
          </w:rPr>
          <w:t xml:space="preserve">1001 Genomes</w:t>
        </w:r>
      </w:hyperlink>
      <w:r>
        <w:t xml:space="preserve"> </w:t>
      </w:r>
      <w:r>
        <w:t xml:space="preserve">genotypes, GWAS‑ready.</w:t>
      </w:r>
    </w:p>
    <w:bookmarkEnd w:id="51"/>
    <w:bookmarkEnd w:id="52"/>
    <w:bookmarkStart w:id="69" w:name="helpful-resources-by-topic"/>
    <w:p>
      <w:pPr>
        <w:pStyle w:val="Heading2"/>
      </w:pPr>
      <w:r>
        <w:t xml:space="preserve">Helpful Resources by Topic</w:t>
      </w:r>
    </w:p>
    <w:p>
      <w:pPr>
        <w:pStyle w:val="FirstParagraph"/>
      </w:pPr>
      <w:r>
        <w:t xml:space="preserve">Here are some resources for topics that we will not cover in depth in this course, if you choose to explore them for this project.</w:t>
      </w:r>
    </w:p>
    <w:bookmarkStart w:id="58" w:name="causal-inference-mendelian-randomization"/>
    <w:p>
      <w:pPr>
        <w:pStyle w:val="Heading3"/>
      </w:pPr>
      <w:r>
        <w:t xml:space="preserve">Causal inference (Mendelian randomization)</w:t>
      </w:r>
    </w:p>
    <w:p>
      <w:pPr>
        <w:pStyle w:val="Compact"/>
        <w:numPr>
          <w:ilvl w:val="0"/>
          <w:numId w:val="1012"/>
        </w:numPr>
      </w:pPr>
      <w:hyperlink r:id="rId53">
        <w:r>
          <w:rPr>
            <w:rStyle w:val="Hyperlink"/>
          </w:rPr>
          <w:t xml:space="preserve">TwoSampleMR documentation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ieugwasr</w:t>
        </w:r>
      </w:hyperlink>
      <w:r>
        <w:t xml:space="preserve">: end‑to‑end two‑sample MR from OpenGWAS, with instrument selection, Steiger filtering, heterogeneity, and sensitivity analyses.</w:t>
      </w:r>
    </w:p>
    <w:p>
      <w:pPr>
        <w:pStyle w:val="Compact"/>
        <w:numPr>
          <w:ilvl w:val="0"/>
          <w:numId w:val="1012"/>
        </w:numPr>
      </w:pPr>
      <w:hyperlink r:id="rId55">
        <w:r>
          <w:rPr>
            <w:rStyle w:val="Hyperlink"/>
          </w:rPr>
          <w:t xml:space="preserve">MendelianRandomization (CRAN)</w:t>
        </w:r>
      </w:hyperlink>
      <w:r>
        <w:t xml:space="preserve">: MR‑Egger, IVW, weighted median/mode, useful for triangulation.</w:t>
      </w:r>
    </w:p>
    <w:p>
      <w:pPr>
        <w:pStyle w:val="Compact"/>
        <w:numPr>
          <w:ilvl w:val="0"/>
          <w:numId w:val="1012"/>
        </w:numPr>
      </w:pPr>
      <w:hyperlink r:id="rId56">
        <w:r>
          <w:rPr>
            <w:rStyle w:val="Hyperlink"/>
          </w:rPr>
          <w:t xml:space="preserve">MR‑PRESSO (CRAN)</w:t>
        </w:r>
      </w:hyperlink>
      <w:r>
        <w:t xml:space="preserve">: outlier detection/correction to assess horizontal pleiotropy.</w:t>
      </w:r>
    </w:p>
    <w:p>
      <w:pPr>
        <w:pStyle w:val="Compact"/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CAUSE</w:t>
        </w:r>
      </w:hyperlink>
      <w:r>
        <w:t xml:space="preserve">: robust MR under correlated pleiotropy, helpful when standard assumptions are doubtful.</w:t>
      </w:r>
    </w:p>
    <w:bookmarkEnd w:id="58"/>
    <w:bookmarkStart w:id="63" w:name="finemapping-and-colocalization"/>
    <w:p>
      <w:pPr>
        <w:pStyle w:val="Heading3"/>
      </w:pPr>
      <w:r>
        <w:t xml:space="preserve">Fine‑mapping and colocalization</w:t>
      </w:r>
    </w:p>
    <w:p>
      <w:pPr>
        <w:pStyle w:val="Compact"/>
        <w:numPr>
          <w:ilvl w:val="0"/>
          <w:numId w:val="1013"/>
        </w:numPr>
      </w:pPr>
      <w:hyperlink r:id="rId59">
        <w:r>
          <w:rPr>
            <w:rStyle w:val="Hyperlink"/>
          </w:rPr>
          <w:t xml:space="preserve">susieR</w:t>
        </w:r>
      </w:hyperlink>
      <w:r>
        <w:t xml:space="preserve">: Bayesian variable selection and credible sets for fine‑mapping; works with in‑sample or reference LD.</w:t>
      </w:r>
    </w:p>
    <w:p>
      <w:pPr>
        <w:pStyle w:val="Compact"/>
        <w:numPr>
          <w:ilvl w:val="0"/>
          <w:numId w:val="1013"/>
        </w:numPr>
      </w:pPr>
      <w:hyperlink r:id="rId60">
        <w:r>
          <w:rPr>
            <w:rStyle w:val="Hyperlink"/>
          </w:rPr>
          <w:t xml:space="preserve">FINEMAP</w:t>
        </w:r>
      </w:hyperlink>
      <w:r>
        <w:t xml:space="preserve">: summary‑stat fine‑mapping with shotgun stochastic search, supports multiple causal variants per locus.</w:t>
      </w:r>
    </w:p>
    <w:p>
      <w:pPr>
        <w:pStyle w:val="Compact"/>
        <w:numPr>
          <w:ilvl w:val="0"/>
          <w:numId w:val="1013"/>
        </w:numPr>
      </w:pPr>
      <w:hyperlink r:id="rId61">
        <w:r>
          <w:rPr>
            <w:rStyle w:val="Hyperlink"/>
          </w:rPr>
          <w:t xml:space="preserve">coloc</w:t>
        </w:r>
      </w:hyperlink>
      <w:r>
        <w:t xml:space="preserve">: Bayesian colocalization testing for two traits (e.g., GWAS–eQTL), simple priors, clear summaries.</w:t>
      </w:r>
    </w:p>
    <w:p>
      <w:pPr>
        <w:pStyle w:val="Compact"/>
        <w:numPr>
          <w:ilvl w:val="0"/>
          <w:numId w:val="1013"/>
        </w:numPr>
      </w:pPr>
      <w:hyperlink r:id="rId62">
        <w:r>
          <w:rPr>
            <w:rStyle w:val="Hyperlink"/>
          </w:rPr>
          <w:t xml:space="preserve">eCAVIAR</w:t>
        </w:r>
      </w:hyperlink>
      <w:r>
        <w:t xml:space="preserve">: probabilistic colocalization allowing multiple causal variants, requires LD and summary stats.</w:t>
      </w:r>
    </w:p>
    <w:bookmarkEnd w:id="63"/>
    <w:bookmarkStart w:id="68" w:name="simulation-with-real-ld"/>
    <w:p>
      <w:pPr>
        <w:pStyle w:val="Heading3"/>
      </w:pPr>
      <w:r>
        <w:t xml:space="preserve">Simulation with real LD</w:t>
      </w:r>
    </w:p>
    <w:p>
      <w:pPr>
        <w:pStyle w:val="Compact"/>
        <w:numPr>
          <w:ilvl w:val="0"/>
          <w:numId w:val="1014"/>
        </w:numPr>
      </w:pPr>
      <w:hyperlink r:id="rId64">
        <w:r>
          <w:rPr>
            <w:rStyle w:val="Hyperlink"/>
          </w:rPr>
          <w:t xml:space="preserve">GCTA - simulate phenotypes</w:t>
        </w:r>
      </w:hyperlink>
      <w:r>
        <w:t xml:space="preserve">: generate traits on top of real genotype panels (e.g., chr22 PLINK files) using specified architectures.</w:t>
      </w:r>
    </w:p>
    <w:p>
      <w:pPr>
        <w:pStyle w:val="Compact"/>
        <w:numPr>
          <w:ilvl w:val="0"/>
          <w:numId w:val="1014"/>
        </w:numPr>
      </w:pPr>
      <w:hyperlink r:id="rId65">
        <w:r>
          <w:rPr>
            <w:rStyle w:val="Hyperlink"/>
          </w:rPr>
          <w:t xml:space="preserve">bigsnpr</w:t>
        </w:r>
      </w:hyperlink>
      <w:r>
        <w:t xml:space="preserve">: R tooling for large genotype matrices. Simulate phenotypes with real LD and evaluate polygenic methods efficiently.</w:t>
      </w:r>
    </w:p>
    <w:p>
      <w:pPr>
        <w:pStyle w:val="Compact"/>
        <w:numPr>
          <w:ilvl w:val="0"/>
          <w:numId w:val="1014"/>
        </w:numPr>
      </w:pPr>
      <w:hyperlink r:id="rId66">
        <w:r>
          <w:rPr>
            <w:rStyle w:val="Hyperlink"/>
          </w:rPr>
          <w:t xml:space="preserve">HAPGEN2</w:t>
        </w:r>
      </w:hyperlink>
      <w:r>
        <w:t xml:space="preserve">: simulate new genotypes from reference haplotypes (1000G/UKBB) to preserve realistic LD patterns.</w:t>
      </w:r>
    </w:p>
    <w:p>
      <w:pPr>
        <w:pStyle w:val="Compact"/>
        <w:numPr>
          <w:ilvl w:val="0"/>
          <w:numId w:val="1014"/>
        </w:numPr>
      </w:pPr>
      <w:hyperlink r:id="rId67">
        <w:r>
          <w:rPr>
            <w:rStyle w:val="Hyperlink"/>
          </w:rPr>
          <w:t xml:space="preserve">stdpopsim</w:t>
        </w:r>
      </w:hyperlink>
      <w:r>
        <w:t xml:space="preserve">: coalescent simulations with recombination and demographic models, combine with empirical LD panels for hybrid designs.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cnsgenomics.com/software/gcta/" TargetMode="External" /><Relationship Type="http://schemas.openxmlformats.org/officeDocument/2006/relationships/hyperlink" Id="rId60" Target="http://www.finemap.me/" TargetMode="External" /><Relationship Type="http://schemas.openxmlformats.org/officeDocument/2006/relationships/hyperlink" Id="rId50" Target="https://1001genomes.org/" TargetMode="External" /><Relationship Type="http://schemas.openxmlformats.org/officeDocument/2006/relationships/hyperlink" Id="rId22" Target="https://academic.oup.com/genetics" TargetMode="External" /><Relationship Type="http://schemas.openxmlformats.org/officeDocument/2006/relationships/hyperlink" Id="rId48" Target="https://aragwas.1001genomes.org/" TargetMode="External" /><Relationship Type="http://schemas.openxmlformats.org/officeDocument/2006/relationships/hyperlink" Id="rId49" Target="https://arapheno.1001genomes.org/" TargetMode="External" /><Relationship Type="http://schemas.openxmlformats.org/officeDocument/2006/relationships/hyperlink" Id="rId56" Target="https://cran.r-project.org/package=MRPRESSO" TargetMode="External" /><Relationship Type="http://schemas.openxmlformats.org/officeDocument/2006/relationships/hyperlink" Id="rId55" Target="https://cran.r-project.org/package=MendelianRandomization" TargetMode="External" /><Relationship Type="http://schemas.openxmlformats.org/officeDocument/2006/relationships/hyperlink" Id="rId61" Target="https://cran.r-project.org/package=coloc" TargetMode="External" /><Relationship Type="http://schemas.openxmlformats.org/officeDocument/2006/relationships/hyperlink" Id="rId40" Target="https://data.broadinstitute.org/alkesgroup/LDSCORE/" TargetMode="External" /><Relationship Type="http://schemas.openxmlformats.org/officeDocument/2006/relationships/hyperlink" Id="rId46" Target="https://flybase.org/" TargetMode="External" /><Relationship Type="http://schemas.openxmlformats.org/officeDocument/2006/relationships/hyperlink" Id="rId41" Target="https://github.com/bulik/ldsc" TargetMode="External" /><Relationship Type="http://schemas.openxmlformats.org/officeDocument/2006/relationships/hyperlink" Id="rId62" Target="https://github.com/fhormoz/caviar" TargetMode="External" /><Relationship Type="http://schemas.openxmlformats.org/officeDocument/2006/relationships/hyperlink" Id="rId37" Target="https://gnomad.broadinstitute.org/downloads" TargetMode="External" /><Relationship Type="http://schemas.openxmlformats.org/officeDocument/2006/relationships/hyperlink" Id="rId36" Target="https://gnomad.broadinstitute.org/downloads#v3-hgdp-1kg" TargetMode="External" /><Relationship Type="http://schemas.openxmlformats.org/officeDocument/2006/relationships/hyperlink" Id="rId39" Target="https://gtexportal.org/home/datasets" TargetMode="External" /><Relationship Type="http://schemas.openxmlformats.org/officeDocument/2006/relationships/hyperlink" Id="rId29" Target="https://gwas.mrcieu.ac.uk/" TargetMode="External" /><Relationship Type="http://schemas.openxmlformats.org/officeDocument/2006/relationships/hyperlink" Id="rId57" Target="https://jean997.github.io/cause/" TargetMode="External" /><Relationship Type="http://schemas.openxmlformats.org/officeDocument/2006/relationships/hyperlink" Id="rId66" Target="https://mathgen.stats.ox.ac.uk/genetics_software/hapgen/hapgen2.html" TargetMode="External" /><Relationship Type="http://schemas.openxmlformats.org/officeDocument/2006/relationships/hyperlink" Id="rId53" Target="https://mrcieu.github.io/TwoSampleMR/" TargetMode="External" /><Relationship Type="http://schemas.openxmlformats.org/officeDocument/2006/relationships/hyperlink" Id="rId54" Target="https://mrcieu.github.io/ieugwasr/" TargetMode="External" /><Relationship Type="http://schemas.openxmlformats.org/officeDocument/2006/relationships/hyperlink" Id="rId30" Target="https://pan.ukbb.broadinstitute.org/" TargetMode="External" /><Relationship Type="http://schemas.openxmlformats.org/officeDocument/2006/relationships/hyperlink" Id="rId42" Target="https://phenome.jax.org/" TargetMode="External" /><Relationship Type="http://schemas.openxmlformats.org/officeDocument/2006/relationships/hyperlink" Id="rId32" Target="https://pheweb.jp/" TargetMode="External" /><Relationship Type="http://schemas.openxmlformats.org/officeDocument/2006/relationships/hyperlink" Id="rId33" Target="https://portals.broadinstitute.org/collaboration/giant/index.php/GIANT_consortium" TargetMode="External" /><Relationship Type="http://schemas.openxmlformats.org/officeDocument/2006/relationships/hyperlink" Id="rId65" Target="https://privefl.github.io/bigsnpr/articles/LDpred2.html" TargetMode="External" /><Relationship Type="http://schemas.openxmlformats.org/officeDocument/2006/relationships/hyperlink" Id="rId45" Target="https://rgd.mcw.edu/" TargetMode="External" /><Relationship Type="http://schemas.openxmlformats.org/officeDocument/2006/relationships/hyperlink" Id="rId67" Target="https://stdpopsim.readthedocs.io/" TargetMode="External" /><Relationship Type="http://schemas.openxmlformats.org/officeDocument/2006/relationships/hyperlink" Id="rId59" Target="https://stephenslab.github.io/susieR/" TargetMode="External" /><Relationship Type="http://schemas.openxmlformats.org/officeDocument/2006/relationships/hyperlink" Id="rId47" Target="https://wormbase.org/" TargetMode="External" /><Relationship Type="http://schemas.openxmlformats.org/officeDocument/2006/relationships/hyperlink" Id="rId38" Target="https://www.ebi.ac.uk/eqtl/" TargetMode="External" /><Relationship Type="http://schemas.openxmlformats.org/officeDocument/2006/relationships/hyperlink" Id="rId28" Target="https://www.ebi.ac.uk/gwas/" TargetMode="External" /><Relationship Type="http://schemas.openxmlformats.org/officeDocument/2006/relationships/hyperlink" Id="rId31" Target="https://www.finngen.fi/en/access_results" TargetMode="External" /><Relationship Type="http://schemas.openxmlformats.org/officeDocument/2006/relationships/hyperlink" Id="rId44" Target="https://www.informatics.jax.org/" TargetMode="External" /><Relationship Type="http://schemas.openxmlformats.org/officeDocument/2006/relationships/hyperlink" Id="rId35" Target="https://www.internationalgenome.org/data" TargetMode="External" /><Relationship Type="http://schemas.openxmlformats.org/officeDocument/2006/relationships/hyperlink" Id="rId34" Target="https://www.med.unc.edu/pgc/download-results/" TargetMode="External" /><Relationship Type="http://schemas.openxmlformats.org/officeDocument/2006/relationships/hyperlink" Id="rId43" Target="https://www.mousephenotype.org/" TargetMode="External" /><Relationship Type="http://schemas.openxmlformats.org/officeDocument/2006/relationships/hyperlink" Id="rId23" Target="https://www.overleaf.com/latex/templates/template-for-preparing-your-submission-to-genetics-using-overleaf/stmpddtqcx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cp:keywords/>
  <dcterms:created xsi:type="dcterms:W3CDTF">2025-10-17T16:28:46Z</dcterms:created>
  <dcterms:modified xsi:type="dcterms:W3CDTF">2025-10-17T16:28:46Z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8878, Statistical Genetics</vt:lpwstr>
  </property>
  <property fmtid="{D5CDD505-2E9C-101B-9397-08002B2CF9AE}" pid="10" name="toc-title">
    <vt:lpwstr>Table of contents</vt:lpwstr>
  </property>
</Properties>
</file>