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80"/>
        <w:jc w:val="center"/>
      </w:pPr>
      <w:r>
        <w:rPr>
          <w:b/>
          <w:bCs/>
          <w:color w:val="0F1F38"/>
          <w:sz w:val="56"/>
          <w:szCs w:val="56"/>
        </w:rPr>
        <w:t xml:space="preserve">Product Requirements Document</w:t>
      </w:r>
    </w:p>
    <w:p>
      <w:pPr>
        <w:spacing w:after="400"/>
        <w:jc w:val="center"/>
      </w:pPr>
      <w:r>
        <w:rPr>
          <w:b/>
          <w:bCs/>
          <w:color w:val="E8772E"/>
          <w:sz w:val="40"/>
          <w:szCs w:val="40"/>
        </w:rPr>
        <w:t xml:space="preserve">Leave Request Management</w:t>
      </w:r>
    </w:p>
    <w:p>
      <w:pPr>
        <w:spacing w:after="1200"/>
        <w:jc w:val="center"/>
      </w:pPr>
      <w:r>
        <w:rPr>
          <w:i/>
          <w:iCs/>
          <w:color w:val="555555"/>
          <w:sz w:val="24"/>
          <w:szCs w:val="24"/>
        </w:rPr>
        <w:t xml:space="preserve">A leave-request management web application for Hope Mission</w:t>
      </w:r>
    </w:p>
    <w:p>
      <w:pPr>
        <w:spacing w:after="100"/>
        <w:jc w:val="center"/>
      </w:pPr>
      <w:r>
        <w:rPr>
          <w:color w:val="555555"/>
          <w:sz w:val="20"/>
          <w:szCs w:val="20"/>
        </w:rPr>
        <w:t xml:space="preserve">Prepared by</w:t>
      </w:r>
    </w:p>
    <w:p>
      <w:pPr>
        <w:spacing w:after="600"/>
        <w:jc w:val="center"/>
      </w:pPr>
      <w:r>
        <w:rPr>
          <w:b/>
          <w:bCs/>
          <w:sz w:val="28"/>
          <w:szCs w:val="28"/>
        </w:rPr>
        <w:t xml:space="preserve">Blessing Chiamaka Izejiobi</w:t>
      </w:r>
    </w:p>
    <w:p>
      <w:pPr>
        <w:spacing w:after="60"/>
        <w:jc w:val="center"/>
      </w:pPr>
      <w:r>
        <w:rPr>
          <w:sz w:val="22"/>
          <w:szCs w:val="22"/>
        </w:rPr>
        <w:t xml:space="preserve">Hope Mission</w:t>
      </w:r>
    </w:p>
    <w:p>
      <w:pPr>
        <w:spacing w:after="60"/>
        <w:jc w:val="center"/>
      </w:pPr>
      <w:r>
        <w:rPr>
          <w:sz w:val="22"/>
          <w:szCs w:val="22"/>
        </w:rPr>
        <w:t xml:space="preserve">Date: June 8, 2026</w:t>
      </w:r>
    </w:p>
    <w:p>
      <w:pPr>
        <w:spacing w:before="120"/>
        <w:jc w:val="center"/>
      </w:pPr>
      <w:r>
        <w:rPr>
          <w:color w:val="555555"/>
          <w:sz w:val="22"/>
          <w:szCs w:val="22"/>
        </w:rPr>
        <w:t xml:space="preserve">Version 1.0</w:t>
      </w:r>
    </w:p>
    <w:p>
      <w:r>
        <w:br w:type="page"/>
      </w:r>
    </w:p>
    <w:p>
      <w:pPr>
        <w:sectPr>
          <w:pgSz w:w="12240" w:h="15840" w:orient="portrait"/>
          <w:pgMar w:top="1440" w:right="1440" w:bottom="1440" w:left="1440" w:header="708" w:footer="708" w:gutter="0"/>
          <w:pgNumType/>
          <w:docGrid w:linePitch="360"/>
        </w:sectPr>
      </w:pPr>
    </w:p>
    <w:p>
      <w:pPr>
        <w:spacing w:after="160"/>
      </w:pPr>
      <w:r>
        <w:rPr>
          <w:b/>
          <w:bCs/>
          <w:color w:val="0F1F38"/>
          <w:sz w:val="28"/>
          <w:szCs w:val="28"/>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Document Overview</w:t>
      </w:r>
    </w:p>
    <w:p>
      <w:pPr>
        <w:spacing w:after="120" w:line="276"/>
      </w:pPr>
      <w:r>
        <w:t xml:space="preserve">This Product Requirements Document (PRD) describes the purpose, scope, users, and functional requirements of Leave Request Management, a web application built for Hope Mission, a non-profit organisation. The document is written so that a reader can understand what the product does and why, without needing to read the source code.</w:t>
      </w:r>
    </w:p>
    <w:p>
      <w:pPr>
        <w:spacing w:after="120" w:line="276"/>
      </w:pPr>
      <w:r>
        <w:t xml:space="preserve">The application was developed by Blessing Chiamaka Izejiobi as a working tool intended for real use within the organisation. It is currently deployed and running on the Railway hosting platform.</w:t>
      </w:r>
    </w:p>
    <w:p>
      <w:pPr>
        <w:pStyle w:val="Heading1"/>
      </w:pPr>
      <w:r>
        <w:t xml:space="preserve">2. Purpose and Background</w:t>
      </w:r>
    </w:p>
    <w:p>
      <w:pPr>
        <w:pStyle w:val="Heading2"/>
      </w:pPr>
      <w:r>
        <w:t xml:space="preserve">2.1 Problem statement</w:t>
      </w:r>
    </w:p>
    <w:p>
      <w:pPr>
        <w:spacing w:after="120" w:line="276"/>
      </w:pPr>
      <w:r>
        <w:t xml:space="preserve">Hope Mission needed a reliable, centralised way to manage employee leave requests. Manual or paper-based leave handling makes it difficult to track requests, verify entitlements, maintain an audit trail, and produce reporting for management and HR.</w:t>
      </w:r>
    </w:p>
    <w:p>
      <w:pPr>
        <w:pStyle w:val="Heading2"/>
      </w:pPr>
      <w:r>
        <w:t xml:space="preserve">2.2 Solution</w:t>
      </w:r>
    </w:p>
    <w:p>
      <w:pPr>
        <w:spacing w:after="120" w:line="276"/>
      </w:pPr>
      <w:r>
        <w:t xml:space="preserve">Leave Request Management provides a single system in which leave is submitted through a familiar intake channel and then managed by authorised staff inside a secure web application. The system captures every submission, lets authorised users verify and act on it, and keeps a complete record for reporting and accountability.</w:t>
      </w:r>
    </w:p>
    <w:p>
      <w:pPr>
        <w:pStyle w:val="Heading2"/>
      </w:pPr>
      <w:r>
        <w:t xml:space="preserve">2.3 Goals</w:t>
      </w:r>
    </w:p>
    <w:p>
      <w:pPr>
        <w:pStyle w:val="ListParagraph"/>
        <w:numPr>
          <w:ilvl w:val="0"/>
          <w:numId w:val="2"/>
        </w:numPr>
        <w:spacing w:after="60" w:line="276"/>
      </w:pPr>
      <w:r>
        <w:t xml:space="preserve">Provide a simple, accessible way for all staff to submit leave requests.</w:t>
      </w:r>
    </w:p>
    <w:p>
      <w:pPr>
        <w:pStyle w:val="ListParagraph"/>
        <w:numPr>
          <w:ilvl w:val="0"/>
          <w:numId w:val="2"/>
        </w:numPr>
        <w:spacing w:after="60" w:line="276"/>
      </w:pPr>
      <w:r>
        <w:t xml:space="preserve">Give managers, administrators, and HR the tools to review, verify, approve, and report on leave.</w:t>
      </w:r>
    </w:p>
    <w:p>
      <w:pPr>
        <w:pStyle w:val="ListParagraph"/>
        <w:numPr>
          <w:ilvl w:val="0"/>
          <w:numId w:val="2"/>
        </w:numPr>
        <w:spacing w:after="60" w:line="276"/>
      </w:pPr>
      <w:r>
        <w:t xml:space="preserve">Maintain an accurate, auditable record of every request and the actions taken on it.</w:t>
      </w:r>
    </w:p>
    <w:p>
      <w:pPr>
        <w:pStyle w:val="ListParagraph"/>
        <w:numPr>
          <w:ilvl w:val="0"/>
          <w:numId w:val="2"/>
        </w:numPr>
        <w:spacing w:after="60" w:line="276"/>
      </w:pPr>
      <w:r>
        <w:t xml:space="preserve">Present verified leave data clearly for operational and HR decision-making.</w:t>
      </w:r>
    </w:p>
    <w:p>
      <w:pPr>
        <w:pStyle w:val="Heading1"/>
      </w:pPr>
      <w:r>
        <w:t xml:space="preserve">3. Users and Roles</w:t>
      </w:r>
    </w:p>
    <w:p>
      <w:pPr>
        <w:spacing w:after="120" w:line="276"/>
      </w:pPr>
      <w:r>
        <w:t xml:space="preserve">The system serves two broad groups: all staff, who submit requests, and management users, who log in to the application to manage those requests. Within the application there are three management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60"/>
        <w:gridCol w:w="4800"/>
      </w:tblGrid>
      <w:tr>
        <w:trPr>
          <w:tblHeader/>
        </w:trPr>
        <w:tc>
          <w:tcPr>
            <w:tcW w:type="dxa" w:w="1800"/>
            <w:tcBorders>
              <w:top w:val="single" w:color="CCCCCC" w:sz="1"/>
              <w:left w:val="single" w:color="CCCCCC" w:sz="1"/>
              <w:bottom w:val="single" w:color="CCCCCC" w:sz="1"/>
              <w:right w:val="single" w:color="CCCCCC" w:sz="1"/>
            </w:tcBorders>
            <w:shd w:fill="0F1F38" w:val="clear"/>
            <w:tcMar>
              <w:top w:type="dxa" w:w="80"/>
              <w:left w:type="dxa" w:w="120"/>
              <w:bottom w:type="dxa" w:w="80"/>
              <w:right w:type="dxa" w:w="120"/>
            </w:tcMar>
            <w:vAlign w:val="center"/>
          </w:tcPr>
          <w:p>
            <w:r>
              <w:rPr>
                <w:b/>
                <w:bCs/>
                <w:color w:val="FFFFFF"/>
              </w:rPr>
              <w:t xml:space="preserve">Role</w:t>
            </w:r>
          </w:p>
        </w:tc>
        <w:tc>
          <w:tcPr>
            <w:tcW w:type="dxa" w:w="2760"/>
            <w:tcBorders>
              <w:top w:val="single" w:color="CCCCCC" w:sz="1"/>
              <w:left w:val="single" w:color="CCCCCC" w:sz="1"/>
              <w:bottom w:val="single" w:color="CCCCCC" w:sz="1"/>
              <w:right w:val="single" w:color="CCCCCC" w:sz="1"/>
            </w:tcBorders>
            <w:shd w:fill="0F1F38" w:val="clear"/>
            <w:tcMar>
              <w:top w:type="dxa" w:w="80"/>
              <w:left w:type="dxa" w:w="120"/>
              <w:bottom w:type="dxa" w:w="80"/>
              <w:right w:type="dxa" w:w="120"/>
            </w:tcMar>
            <w:vAlign w:val="center"/>
          </w:tcPr>
          <w:p>
            <w:r>
              <w:rPr>
                <w:b/>
                <w:bCs/>
                <w:color w:val="FFFFFF"/>
              </w:rPr>
              <w:t xml:space="preserve">Access</w:t>
            </w:r>
          </w:p>
        </w:tc>
        <w:tc>
          <w:tcPr>
            <w:tcW w:type="dxa" w:w="4800"/>
            <w:tcBorders>
              <w:top w:val="single" w:color="CCCCCC" w:sz="1"/>
              <w:left w:val="single" w:color="CCCCCC" w:sz="1"/>
              <w:bottom w:val="single" w:color="CCCCCC" w:sz="1"/>
              <w:right w:val="single" w:color="CCCCCC" w:sz="1"/>
            </w:tcBorders>
            <w:shd w:fill="0F1F38" w:val="clear"/>
            <w:tcMar>
              <w:top w:type="dxa" w:w="80"/>
              <w:left w:type="dxa" w:w="120"/>
              <w:bottom w:type="dxa" w:w="80"/>
              <w:right w:type="dxa" w:w="120"/>
            </w:tcMar>
            <w:vAlign w:val="center"/>
          </w:tcPr>
          <w:p>
            <w:r>
              <w:rPr>
                <w:b/>
                <w:bCs/>
                <w:color w:val="FFFFFF"/>
              </w:rPr>
              <w:t xml:space="preserve">Primary responsibilities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All staff</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Microsoft Forms (no app login)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Submit leave requests through a Microsoft Form.</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Manager</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Logs in to the app</w:t>
            </w:r>
          </w:p>
        </w:tc>
        <w:tc>
          <w:tcPr>
            <w:tcW w:type="dxa" w:w="4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Review and act on requests from their team; approvals; submit on behalf of absent staff (proxy).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Admin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Logs in to the app</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Final decision-maker on submissions; verification; manual data updates; manage records and audit trail.</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HR</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Logs in to the app</w:t>
            </w:r>
          </w:p>
        </w:tc>
        <w:tc>
          <w:tcPr>
            <w:tcW w:type="dxa" w:w="4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View verified leave data across reporting views; monitor leave hours; produce reports.</w:t>
            </w:r>
          </w:p>
        </w:tc>
      </w:tr>
    </w:tbl>
    <w:p>
      <w:pPr>
        <w:pStyle w:val="Heading1"/>
      </w:pPr>
      <w:r>
        <w:t xml:space="preserve">4. Scope</w:t>
      </w:r>
    </w:p>
    <w:p>
      <w:pPr>
        <w:pStyle w:val="Heading2"/>
      </w:pPr>
      <w:r>
        <w:t xml:space="preserve">4.1 In scope</w:t>
      </w:r>
    </w:p>
    <w:p>
      <w:pPr>
        <w:pStyle w:val="ListParagraph"/>
        <w:numPr>
          <w:ilvl w:val="0"/>
          <w:numId w:val="2"/>
        </w:numPr>
        <w:spacing w:after="60" w:line="276"/>
      </w:pPr>
      <w:r>
        <w:t xml:space="preserve">Leave request intake via Microsoft Forms for all staff.</w:t>
      </w:r>
    </w:p>
    <w:p>
      <w:pPr>
        <w:pStyle w:val="ListParagraph"/>
        <w:numPr>
          <w:ilvl w:val="0"/>
          <w:numId w:val="2"/>
        </w:numPr>
        <w:spacing w:after="60" w:line="276"/>
      </w:pPr>
      <w:r>
        <w:t xml:space="preserve">Authenticated web application for Manager, Admin, and HR users.</w:t>
      </w:r>
    </w:p>
    <w:p>
      <w:pPr>
        <w:pStyle w:val="ListParagraph"/>
        <w:numPr>
          <w:ilvl w:val="0"/>
          <w:numId w:val="2"/>
        </w:numPr>
        <w:spacing w:after="60" w:line="276"/>
      </w:pPr>
      <w:r>
        <w:t xml:space="preserve">Review, verification, and approval of submitted requests.</w:t>
      </w:r>
    </w:p>
    <w:p>
      <w:pPr>
        <w:pStyle w:val="ListParagraph"/>
        <w:numPr>
          <w:ilvl w:val="0"/>
          <w:numId w:val="2"/>
        </w:numPr>
        <w:spacing w:after="60" w:line="276"/>
      </w:pPr>
      <w:r>
        <w:t xml:space="preserve">Proxy submissions, where a supervisor submits leave on behalf of an absent staff member.</w:t>
      </w:r>
    </w:p>
    <w:p>
      <w:pPr>
        <w:pStyle w:val="ListParagraph"/>
        <w:numPr>
          <w:ilvl w:val="0"/>
          <w:numId w:val="2"/>
        </w:numPr>
        <w:spacing w:after="60" w:line="276"/>
      </w:pPr>
      <w:r>
        <w:t xml:space="preserve">File uploads attached to requests (e.g. supporting documentation).</w:t>
      </w:r>
    </w:p>
    <w:p>
      <w:pPr>
        <w:pStyle w:val="ListParagraph"/>
        <w:numPr>
          <w:ilvl w:val="0"/>
          <w:numId w:val="2"/>
        </w:numPr>
        <w:spacing w:after="60" w:line="276"/>
      </w:pPr>
      <w:r>
        <w:t xml:space="preserve">Manual data updates by authorised users where information needs correction or completion.</w:t>
      </w:r>
    </w:p>
    <w:p>
      <w:pPr>
        <w:pStyle w:val="ListParagraph"/>
        <w:numPr>
          <w:ilvl w:val="0"/>
          <w:numId w:val="2"/>
        </w:numPr>
        <w:spacing w:after="60" w:line="276"/>
      </w:pPr>
      <w:r>
        <w:t xml:space="preserve">Reporting and a leave-hours overview for HR.</w:t>
      </w:r>
    </w:p>
    <w:p>
      <w:pPr>
        <w:pStyle w:val="ListParagraph"/>
        <w:numPr>
          <w:ilvl w:val="0"/>
          <w:numId w:val="2"/>
        </w:numPr>
        <w:spacing w:after="60" w:line="276"/>
      </w:pPr>
      <w:r>
        <w:t xml:space="preserve">An audit trail recording actions taken on records.</w:t>
      </w:r>
    </w:p>
    <w:p>
      <w:pPr>
        <w:pStyle w:val="Heading2"/>
      </w:pPr>
      <w:r>
        <w:t xml:space="preserve">4.2 Out of scope</w:t>
      </w:r>
    </w:p>
    <w:p>
      <w:pPr>
        <w:pStyle w:val="ListParagraph"/>
        <w:numPr>
          <w:ilvl w:val="0"/>
          <w:numId w:val="2"/>
        </w:numPr>
        <w:spacing w:after="60" w:line="276"/>
      </w:pPr>
      <w:r>
        <w:t xml:space="preserve">Payroll processing and direct integration with payroll systems.</w:t>
      </w:r>
    </w:p>
    <w:p>
      <w:pPr>
        <w:pStyle w:val="ListParagraph"/>
        <w:numPr>
          <w:ilvl w:val="0"/>
          <w:numId w:val="2"/>
        </w:numPr>
        <w:spacing w:after="60" w:line="276"/>
      </w:pPr>
      <w:r>
        <w:t xml:space="preserve">Automatic enforcement of leave entitlement policy (the system highlights; people decide).</w:t>
      </w:r>
    </w:p>
    <w:p>
      <w:pPr>
        <w:pStyle w:val="ListParagraph"/>
        <w:numPr>
          <w:ilvl w:val="0"/>
          <w:numId w:val="2"/>
        </w:numPr>
        <w:spacing w:after="60" w:line="276"/>
      </w:pPr>
      <w:r>
        <w:t xml:space="preserve">Self-service login for general staff (staff submit via Microsoft Forms, not the app).</w:t>
      </w:r>
    </w:p>
    <w:p>
      <w:pPr>
        <w:pStyle w:val="Heading1"/>
      </w:pPr>
      <w:r>
        <w:t xml:space="preserve">5. Functional Requirements</w:t>
      </w:r>
    </w:p>
    <w:p>
      <w:pPr>
        <w:pStyle w:val="Heading2"/>
      </w:pPr>
      <w:r>
        <w:t xml:space="preserve">5.1 Leave submission</w:t>
      </w:r>
    </w:p>
    <w:p>
      <w:pPr>
        <w:spacing w:after="120" w:line="276"/>
      </w:pPr>
      <w:r>
        <w:t xml:space="preserve">All staff submit leave requests through a Microsoft Form. Submissions flow into the application where management users can see and act on them. This keeps the submission experience simple and familiar for staff who do not log in to the app.</w:t>
      </w:r>
    </w:p>
    <w:p>
      <w:pPr>
        <w:pStyle w:val="Heading2"/>
      </w:pPr>
      <w:r>
        <w:t xml:space="preserve">5.2 Authentication and sign-in</w:t>
      </w:r>
    </w:p>
    <w:p>
      <w:pPr>
        <w:spacing w:after="120" w:line="276"/>
      </w:pPr>
      <w:r>
        <w:t xml:space="preserve">Manager, Admin, and HR users sign in to the application to manage requests. The application always opens on the sign-in page, so an unauthenticated user is never shown management data. Sign-in supports Microsoft sign-in.</w:t>
      </w:r>
    </w:p>
    <w:p>
      <w:pPr>
        <w:pStyle w:val="Heading2"/>
      </w:pPr>
      <w:r>
        <w:t xml:space="preserve">5.3 Verification of submissions</w:t>
      </w:r>
    </w:p>
    <w:p>
      <w:pPr>
        <w:spacing w:after="120" w:line="276"/>
      </w:pPr>
      <w:r>
        <w:t xml:space="preserve">Authorised users verify the details of each submitted form before it is treated as confirmed. Reporting views can be filtered to show verified data only, indicated in the interface by a “Verified only” control, so that HR and management work from confirmed information.</w:t>
      </w:r>
    </w:p>
    <w:p>
      <w:pPr>
        <w:pStyle w:val="Heading2"/>
      </w:pPr>
      <w:r>
        <w:t xml:space="preserve">5.4 Approvals</w:t>
      </w:r>
    </w:p>
    <w:p>
      <w:pPr>
        <w:spacing w:after="120" w:line="276"/>
      </w:pPr>
      <w:r>
        <w:t xml:space="preserve">Management users review submitted requests and record an approval decision. The system may highlight items for attention, but these flags are hints only — the Admin always makes the final decision on every submission. This “system highlights, Admin decides” principle keeps a human in control of every outcome.</w:t>
      </w:r>
    </w:p>
    <w:p>
      <w:pPr>
        <w:pStyle w:val="Heading2"/>
      </w:pPr>
      <w:r>
        <w:t xml:space="preserve">5.5 Proxy submissions</w:t>
      </w:r>
    </w:p>
    <w:p>
      <w:pPr>
        <w:spacing w:after="120" w:line="276"/>
      </w:pPr>
      <w:r>
        <w:t xml:space="preserve">When a staff member is absent and cannot submit their own request, a supervisor can submit on their behalf. To keep the record accurate, an Admin can edit the Employee ID and name to reassign the record to the correct employee. The reassignment is captured in the audit trail, and the record carries a “Proxy Submission” badge so it is clearly identifiable as having been submitted by someone other than the employee.</w:t>
      </w:r>
    </w:p>
    <w:p>
      <w:pPr>
        <w:pStyle w:val="Heading2"/>
      </w:pPr>
      <w:r>
        <w:t xml:space="preserve">5.6 File uploads</w:t>
      </w:r>
    </w:p>
    <w:p>
      <w:pPr>
        <w:spacing w:after="120" w:line="276"/>
      </w:pPr>
      <w:r>
        <w:t xml:space="preserve">Authorised users can attach files to requests, for example supporting documentation relevant to a leave request.</w:t>
      </w:r>
    </w:p>
    <w:p>
      <w:pPr>
        <w:pStyle w:val="Heading2"/>
      </w:pPr>
      <w:r>
        <w:t xml:space="preserve">5.7 Manual data updates</w:t>
      </w:r>
    </w:p>
    <w:p>
      <w:pPr>
        <w:spacing w:after="120" w:line="276"/>
      </w:pPr>
      <w:r>
        <w:t xml:space="preserve">Authorised users can manually update record data within the application where information needs to be corrected or completed, with changes reflected against the record.</w:t>
      </w:r>
    </w:p>
    <w:p>
      <w:pPr>
        <w:pStyle w:val="Heading2"/>
      </w:pPr>
      <w:r>
        <w:t xml:space="preserve">5.8 HR data presentation</w:t>
      </w:r>
    </w:p>
    <w:p>
      <w:pPr>
        <w:spacing w:after="120" w:line="276"/>
      </w:pPr>
      <w:r>
        <w:t xml:space="preserve">HR works from verified data presented across three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0F1F38" w:val="clear"/>
            <w:tcMar>
              <w:top w:type="dxa" w:w="80"/>
              <w:left w:type="dxa" w:w="120"/>
              <w:bottom w:type="dxa" w:w="80"/>
              <w:right w:type="dxa" w:w="120"/>
            </w:tcMar>
            <w:vAlign w:val="center"/>
          </w:tcPr>
          <w:p>
            <w:r>
              <w:rPr>
                <w:b/>
                <w:bCs/>
                <w:color w:val="FFFFFF"/>
              </w:rPr>
              <w:t xml:space="preserve">View</w:t>
            </w:r>
          </w:p>
        </w:tc>
        <w:tc>
          <w:tcPr>
            <w:tcW w:type="dxa" w:w="6240"/>
            <w:tcBorders>
              <w:top w:val="single" w:color="CCCCCC" w:sz="1"/>
              <w:left w:val="single" w:color="CCCCCC" w:sz="1"/>
              <w:bottom w:val="single" w:color="CCCCCC" w:sz="1"/>
              <w:right w:val="single" w:color="CCCCCC" w:sz="1"/>
            </w:tcBorders>
            <w:shd w:fill="0F1F38" w:val="clear"/>
            <w:tcMar>
              <w:top w:type="dxa" w:w="80"/>
              <w:left w:type="dxa" w:w="120"/>
              <w:bottom w:type="dxa" w:w="80"/>
              <w:right w:type="dxa" w:w="120"/>
            </w:tcMar>
            <w:vAlign w:val="center"/>
          </w:tcPr>
          <w:p>
            <w:r>
              <w:rPr>
                <w:b/>
                <w:bCs/>
                <w:color w:val="FFFFFF"/>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Leave Requests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The list of submitted leave requests for review and reference.</w:t>
            </w:r>
          </w:p>
        </w:tc>
      </w:tr>
      <w:tr>
        <w:tc>
          <w:tcPr>
            <w:tcW w:type="dxa" w:w="312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Leave Hours Snapshot</w:t>
            </w:r>
          </w:p>
        </w:tc>
        <w:tc>
          <w:tcPr>
            <w:tcW w:type="dxa" w:w="62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An overview of leave hours, filterable by department and cost centre.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Reports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Reporting outputs for management and HR use.</w:t>
            </w:r>
          </w:p>
        </w:tc>
      </w:tr>
    </w:tbl>
    <w:p>
      <w:pPr>
        <w:spacing w:after="120" w:line="276"/>
      </w:pPr>
      <w:r>
        <w:t xml:space="preserve">The Leave Hours Snapshot includes department and cost-centre filters so HR can narrow the view to the relevant part of the organisation.</w:t>
      </w:r>
    </w:p>
    <w:p>
      <w:pPr>
        <w:pStyle w:val="Heading2"/>
      </w:pPr>
      <w:r>
        <w:t xml:space="preserve">5.9 Audit trail</w:t>
      </w:r>
    </w:p>
    <w:p>
      <w:pPr>
        <w:spacing w:after="120" w:line="276"/>
      </w:pPr>
      <w:r>
        <w:t xml:space="preserve">The system records actions taken on records — including reassignment of proxy submissions — so there is an accountable history of who did what.</w:t>
      </w:r>
    </w:p>
    <w:p>
      <w:pPr>
        <w:pStyle w:val="Heading1"/>
      </w:pPr>
      <w:r>
        <w:t xml:space="preserve">6.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F1F38" w:val="clear"/>
            <w:tcMar>
              <w:top w:type="dxa" w:w="80"/>
              <w:left w:type="dxa" w:w="120"/>
              <w:bottom w:type="dxa" w:w="80"/>
              <w:right w:type="dxa" w:w="120"/>
            </w:tcMar>
            <w:vAlign w:val="center"/>
          </w:tcPr>
          <w:p>
            <w:r>
              <w:rPr>
                <w:b/>
                <w:bCs/>
                <w:color w:val="FFFFFF"/>
              </w:rPr>
              <w:t xml:space="preserve">Area</w:t>
            </w:r>
          </w:p>
        </w:tc>
        <w:tc>
          <w:tcPr>
            <w:tcW w:type="dxa" w:w="6960"/>
            <w:tcBorders>
              <w:top w:val="single" w:color="CCCCCC" w:sz="1"/>
              <w:left w:val="single" w:color="CCCCCC" w:sz="1"/>
              <w:bottom w:val="single" w:color="CCCCCC" w:sz="1"/>
              <w:right w:val="single" w:color="CCCCCC" w:sz="1"/>
            </w:tcBorders>
            <w:shd w:fill="0F1F38" w:val="clear"/>
            <w:tcMar>
              <w:top w:type="dxa" w:w="80"/>
              <w:left w:type="dxa" w:w="120"/>
              <w:bottom w:type="dxa" w:w="80"/>
              <w:right w:type="dxa" w:w="120"/>
            </w:tcMar>
            <w:vAlign w:val="center"/>
          </w:tcPr>
          <w:p>
            <w:r>
              <w:rPr>
                <w:b/>
                <w:bCs/>
                <w:color w:val="FFFFFF"/>
              </w:rPr>
              <w:t xml:space="preserve">Requirement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Availability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Hosted on Railway and accessible to authorised users over the web.</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Security</w:t>
            </w:r>
          </w:p>
        </w:tc>
        <w:tc>
          <w:tcPr>
            <w:tcW w:type="dxa" w:w="6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Management features are behind authentication; the app opens on the sign-in page.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Usability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Clear role-based views; staff submission kept simple via Microsoft Forms.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Data integrity</w:t>
            </w:r>
          </w:p>
        </w:tc>
        <w:tc>
          <w:tcPr>
            <w:tcW w:type="dxa" w:w="6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Verification step and audit trail support accurate, accountable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Maintainability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Single codebase deployed to a managed hosting platform.</w:t>
            </w:r>
          </w:p>
        </w:tc>
      </w:tr>
    </w:tbl>
    <w:p>
      <w:pPr>
        <w:pStyle w:val="Heading1"/>
      </w:pPr>
      <w:r>
        <w:t xml:space="preserve">7. Design and User Interface</w:t>
      </w:r>
    </w:p>
    <w:p>
      <w:pPr>
        <w:spacing w:after="120" w:line="276"/>
      </w:pPr>
      <w:r>
        <w:t xml:space="preserve">The interface uses a consistent visual system aligned with the Hope Mission brand:</w:t>
      </w:r>
    </w:p>
    <w:p>
      <w:pPr>
        <w:pStyle w:val="ListParagraph"/>
        <w:numPr>
          <w:ilvl w:val="0"/>
          <w:numId w:val="2"/>
        </w:numPr>
        <w:spacing w:after="60" w:line="276"/>
      </w:pPr>
      <w:r>
        <w:t xml:space="preserve">A navy sidebar (#0F1F38) carrying the orange Hope Mission logo.</w:t>
      </w:r>
    </w:p>
    <w:p>
      <w:pPr>
        <w:pStyle w:val="ListParagraph"/>
        <w:numPr>
          <w:ilvl w:val="0"/>
          <w:numId w:val="2"/>
        </w:numPr>
        <w:spacing w:after="60" w:line="276"/>
      </w:pPr>
      <w:r>
        <w:t xml:space="preserve">A light blue-grey application background (#F0F4FA) with white content cards.</w:t>
      </w:r>
    </w:p>
    <w:p>
      <w:pPr>
        <w:pStyle w:val="ListParagraph"/>
        <w:numPr>
          <w:ilvl w:val="0"/>
          <w:numId w:val="2"/>
        </w:numPr>
        <w:spacing w:after="60" w:line="276"/>
      </w:pPr>
      <w:r>
        <w:t xml:space="preserve">Navy pill-style section labels for clear sectioning.</w:t>
      </w:r>
    </w:p>
    <w:p>
      <w:pPr>
        <w:pStyle w:val="ListParagraph"/>
        <w:numPr>
          <w:ilvl w:val="0"/>
          <w:numId w:val="2"/>
        </w:numPr>
        <w:spacing w:after="60" w:line="276"/>
      </w:pPr>
      <w:r>
        <w:t xml:space="preserve">An orange “Verified only” pill to indicate verified-data views.</w:t>
      </w:r>
    </w:p>
    <w:p>
      <w:pPr>
        <w:pStyle w:val="ListParagraph"/>
        <w:numPr>
          <w:ilvl w:val="0"/>
          <w:numId w:val="2"/>
        </w:numPr>
        <w:spacing w:after="60" w:line="276"/>
      </w:pPr>
      <w:r>
        <w:t xml:space="preserve">The platform’s default (Railway) font, retained intentionally for consistency.</w:t>
      </w:r>
    </w:p>
    <w:p>
      <w:pPr>
        <w:spacing w:after="120" w:line="276"/>
      </w:pPr>
      <w:r>
        <w:t xml:space="preserve">The application always launches on the sign-in page, ensuring a consistent and secure entry point.</w:t>
      </w:r>
    </w:p>
    <w:p>
      <w:pPr>
        <w:pStyle w:val="Heading1"/>
      </w:pPr>
      <w:r>
        <w:t xml:space="preserve">8. Technical Overview</w:t>
      </w:r>
    </w:p>
    <w:p>
      <w:pPr>
        <w:spacing w:after="120" w:line="276"/>
      </w:pPr>
      <w:r>
        <w:rPr>
          <w:i/>
          <w:iCs/>
          <w:color w:val="555555"/>
        </w:rPr>
        <w:t xml:space="preserve">This section is intentionally high-level; precise implementation details live in the source code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F1F38" w:val="clear"/>
            <w:tcMar>
              <w:top w:type="dxa" w:w="80"/>
              <w:left w:type="dxa" w:w="120"/>
              <w:bottom w:type="dxa" w:w="80"/>
              <w:right w:type="dxa" w:w="120"/>
            </w:tcMar>
            <w:vAlign w:val="center"/>
          </w:tcPr>
          <w:p>
            <w:r>
              <w:rPr>
                <w:b/>
                <w:bCs/>
                <w:color w:val="FFFFFF"/>
              </w:rPr>
              <w:t xml:space="preserve">Aspect</w:t>
            </w:r>
          </w:p>
        </w:tc>
        <w:tc>
          <w:tcPr>
            <w:tcW w:type="dxa" w:w="6760"/>
            <w:tcBorders>
              <w:top w:val="single" w:color="CCCCCC" w:sz="1"/>
              <w:left w:val="single" w:color="CCCCCC" w:sz="1"/>
              <w:bottom w:val="single" w:color="CCCCCC" w:sz="1"/>
              <w:right w:val="single" w:color="CCCCCC" w:sz="1"/>
            </w:tcBorders>
            <w:shd w:fill="0F1F38" w:val="clear"/>
            <w:tcMar>
              <w:top w:type="dxa" w:w="80"/>
              <w:left w:type="dxa" w:w="120"/>
              <w:bottom w:type="dxa" w:w="80"/>
              <w:right w:type="dxa" w:w="120"/>
            </w:tcMar>
            <w:vAlign w:val="center"/>
          </w:tcPr>
          <w:p>
            <w:r>
              <w:rPr>
                <w:b/>
                <w:bCs/>
                <w:color w:val="FFFFFF"/>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Application type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Web application.</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Hosting / deployment</w:t>
            </w:r>
          </w:p>
        </w:tc>
        <w:tc>
          <w:tcPr>
            <w:tcW w:type="dxa" w:w="6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Deployed on Railway.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Server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Node.js application (served via server-standalone.js; local port 3001).</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Submission channel</w:t>
            </w:r>
          </w:p>
        </w:tc>
        <w:tc>
          <w:tcPr>
            <w:tcW w:type="dxa" w:w="6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Microsoft Forms for staff intake.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Authentication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Microsoft sign-in.</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Mobile packaging</w:t>
            </w:r>
          </w:p>
        </w:tc>
        <w:tc>
          <w:tcPr>
            <w:tcW w:type="dxa" w:w="6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t xml:space="preserve">Android APK packaged from the deployed app using Capacitor.</w:t>
            </w:r>
          </w:p>
        </w:tc>
      </w:tr>
    </w:tbl>
    <w:p>
      <w:pPr>
        <w:spacing w:after="120" w:before="80"/>
      </w:pPr>
      <w:r>
        <w:t xml:space="preserve">Repository: </w:t>
      </w:r>
      <w:r>
        <w:rPr>
          <w:i/>
          <w:iCs/>
          <w:color w:val="E8772E"/>
        </w:rPr>
        <w:t xml:space="preserve">[GitHub repository link — confirm public or share access]</w:t>
      </w:r>
    </w:p>
    <w:p>
      <w:pPr>
        <w:pStyle w:val="Heading1"/>
      </w:pPr>
      <w:r>
        <w:t xml:space="preserve">9. Assumptions and Open Items</w:t>
      </w:r>
    </w:p>
    <w:p>
      <w:pPr>
        <w:spacing w:after="120" w:line="276"/>
      </w:pPr>
      <w:r>
        <w:t xml:space="preserve">The following items should be confirmed or completed before final submission:</w:t>
      </w:r>
    </w:p>
    <w:p>
      <w:pPr>
        <w:pStyle w:val="ListParagraph"/>
        <w:numPr>
          <w:ilvl w:val="0"/>
          <w:numId w:val="3"/>
        </w:numPr>
        <w:spacing w:after="60" w:line="276"/>
      </w:pPr>
      <w:r>
        <w:t xml:space="preserve">Confirm the GitHub repository link and that it is public (or that the instructor has access).</w:t>
      </w:r>
    </w:p>
    <w:p>
      <w:pPr>
        <w:pStyle w:val="ListParagraph"/>
        <w:numPr>
          <w:ilvl w:val="0"/>
          <w:numId w:val="3"/>
        </w:numPr>
        <w:spacing w:after="60" w:line="276"/>
      </w:pPr>
      <w:r>
        <w:t xml:space="preserve">Confirm the role descriptions in sections 3 and 5 match the application’s actual behaviour — in particular, which role gives final approval.</w:t>
      </w:r>
    </w:p>
    <w:p>
      <w:pPr>
        <w:pStyle w:val="Heading1"/>
      </w:pPr>
      <w:r>
        <w:t xml:space="preserve">10. Future Versions</w:t>
      </w:r>
    </w:p>
    <w:p>
      <w:pPr>
        <w:spacing w:after="120" w:line="276"/>
      </w:pPr>
      <w:r>
        <w:t xml:space="preserve">This is the first release of Leave Request Management. Planned enhancements for future versions include:</w:t>
      </w:r>
    </w:p>
    <w:p>
      <w:pPr>
        <w:pStyle w:val="ListParagraph"/>
        <w:numPr>
          <w:ilvl w:val="0"/>
          <w:numId w:val="2"/>
        </w:numPr>
        <w:spacing w:after="60" w:line="276"/>
      </w:pPr>
      <w:r>
        <w:t xml:space="preserve">Direct leave-request submission through the app for all employees, so that staff submit within the application itself rather than through Microsoft Forms.</w:t>
      </w:r>
    </w:p>
    <w:p>
      <w:pPr>
        <w:pStyle w:val="ListParagraph"/>
        <w:numPr>
          <w:ilvl w:val="0"/>
          <w:numId w:val="2"/>
        </w:numPr>
        <w:spacing w:after="60" w:line="276"/>
      </w:pPr>
      <w:r>
        <w:t xml:space="preserve">Use of real organisational data once the application has been approved for full operational use.</w:t>
      </w:r>
    </w:p>
    <w:p>
      <w:pPr>
        <w:pStyle w:val="Heading1"/>
      </w:pPr>
      <w:r>
        <w:t xml:space="preserve">11. Conclusion</w:t>
      </w:r>
    </w:p>
    <w:p>
      <w:pPr>
        <w:spacing w:after="120" w:line="276"/>
      </w:pPr>
      <w:r>
        <w:t xml:space="preserve">Leave Request Management delivers a complete, role-based system for handling employee leave at Hope Mission: simple submission for all staff, and secure, accountable management for Manager, Admin, and HR users. With verification, an audit trail, proxy handling, file uploads, and HR reporting, the application meets the operational needs of the organisation while remaining straightforward to use.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555555"/>
        <w:sz w:val="16"/>
        <w:szCs w:val="16"/>
      </w:rPr>
      <w:t xml:space="preserve">Leave Request Management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8772E" w:sz="6" w:space="4"/>
      </w:pBdr>
      <w:spacing w:after="160" w:before="320"/>
      <w:outlineLvl w:val="0"/>
    </w:pPr>
    <w:rPr>
      <w:rFonts w:ascii="Arial" w:cs="Arial" w:eastAsia="Arial" w:hAnsi="Arial"/>
      <w:b/>
      <w:bCs/>
      <w:color w:val="0F1F38"/>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0F1F3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2026-06-09T01:35:35.544Z</dcterms:created>
  <dcterms:modified xsi:type="dcterms:W3CDTF">2026-06-09T01:35:35.558Z</dcterms:modified>
</cp:coreProperties>
</file>

<file path=docProps/custom.xml><?xml version="1.0" encoding="utf-8"?>
<Properties xmlns="http://schemas.openxmlformats.org/officeDocument/2006/custom-properties" xmlns:vt="http://schemas.openxmlformats.org/officeDocument/2006/docPropsVTypes"/>
</file>