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2453C4"/>
          <w:sz w:val="20"/>
          <w:szCs w:val="20"/>
        </w:rPr>
        <w:t xml:space="preserve">BUSINESS REQUIREMENTS DOCUMENT</w:t>
      </w:r>
    </w:p>
    <w:p>
      <w:pPr>
        <w:spacing w:after="240"/>
      </w:pPr>
      <w:r>
        <w:rPr>
          <w:rFonts w:ascii="Calibri" w:cs="Calibri" w:eastAsia="Calibri" w:hAnsi="Calibri"/>
          <w:b/>
          <w:bCs/>
          <w:color w:val="18212C"/>
          <w:sz w:val="48"/>
          <w:szCs w:val="48"/>
        </w:rPr>
        <w:t xml:space="preserve">Controlled procure-to-pay and supplier onboarding</w:t>
      </w:r>
    </w:p>
    <w:p>
      <w:pPr>
        <w:spacing w:after="120" w:line="276"/>
        <w:rPr>
          <w:color w:val="5B6878"/>
        </w:rPr>
      </w:pPr>
      <w:r>
        <w:rPr>
          <w:rFonts w:ascii="Calibri" w:cs="Calibri" w:eastAsia="Calibri" w:hAnsi="Calibri"/>
          <w:color w:val="5B6878"/>
          <w:sz w:val="22"/>
          <w:szCs w:val="22"/>
        </w:rPr>
        <w:t xml:space="preserve">Portfolio case study by Chiamaka Ikpo, based on my experience as a Procurement Officer at a commercial bank. The organisation is anonymised, the process is generalised, and approval values are illustrative. No confidential information is included.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Item</w:t>
            </w:r>
          </w:p>
        </w:tc>
        <w:tc>
          <w:tcPr>
            <w:tcW w:type="dxa" w:w="6769"/>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Detail</w:t>
            </w:r>
          </w:p>
        </w:tc>
      </w:tr>
      <w:tr>
        <w:trPr>
          <w:cantSplit/>
        </w:trPr>
        <w:tc>
          <w:tcPr>
            <w:tcW w:type="dxa" w:w="225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Document</w:t>
            </w:r>
          </w:p>
        </w:tc>
        <w:tc>
          <w:tcPr>
            <w:tcW w:type="dxa" w:w="6769"/>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Business Requirements Document (BRD)</w:t>
            </w:r>
          </w:p>
        </w:tc>
      </w:tr>
      <w:tr>
        <w:trPr>
          <w:cantSplit/>
        </w:trPr>
        <w:tc>
          <w:tcPr>
            <w:tcW w:type="dxa" w:w="225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Version</w:t>
            </w:r>
          </w:p>
        </w:tc>
        <w:tc>
          <w:tcPr>
            <w:tcW w:type="dxa" w:w="6769"/>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1.0 (portfolio edition)</w:t>
            </w:r>
          </w:p>
        </w:tc>
      </w:tr>
      <w:tr>
        <w:trPr>
          <w:cantSplit/>
        </w:trPr>
        <w:tc>
          <w:tcPr>
            <w:tcW w:type="dxa" w:w="225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Author</w:t>
            </w:r>
          </w:p>
        </w:tc>
        <w:tc>
          <w:tcPr>
            <w:tcW w:type="dxa" w:w="6769"/>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Chiamaka Ikpo, Business Analyst</w:t>
            </w:r>
          </w:p>
        </w:tc>
      </w:tr>
      <w:tr>
        <w:trPr>
          <w:cantSplit/>
        </w:trPr>
        <w:tc>
          <w:tcPr>
            <w:tcW w:type="dxa" w:w="225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Status</w:t>
            </w:r>
          </w:p>
        </w:tc>
        <w:tc>
          <w:tcPr>
            <w:tcW w:type="dxa" w:w="6769"/>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Draft for stakeholder review</w:t>
            </w:r>
          </w:p>
        </w:tc>
      </w:tr>
      <w:tr>
        <w:trPr>
          <w:cantSplit/>
        </w:trPr>
        <w:tc>
          <w:tcPr>
            <w:tcW w:type="dxa" w:w="225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Related artefacts</w:t>
            </w:r>
          </w:p>
        </w:tc>
        <w:tc>
          <w:tcPr>
            <w:tcW w:type="dxa" w:w="6769"/>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process/as_is.bpmn, process/to_be.bpmn, backlog/user_stories.csv, docs/P2P_Requirements_Workbook.xlsx</w:t>
            </w:r>
          </w:p>
        </w:tc>
      </w:tr>
    </w:tbl>
    <w:p>
      <w:r>
        <w:br w:type="page"/>
      </w:r>
    </w:p>
    <w:p>
      <w:pPr>
        <w:spacing w:after="160"/>
      </w:pPr>
      <w:r>
        <w:rPr>
          <w:rFonts w:ascii="Calibri" w:cs="Calibri" w:eastAsia="Calibri" w:hAnsi="Calibri"/>
          <w:b/>
          <w:bCs/>
          <w:color w:val="18212C"/>
          <w:sz w:val="32"/>
          <w:szCs w:val="32"/>
        </w:rPr>
        <w:t xml:space="preserve">Contents</w:t>
      </w:r>
    </w:p>
    <w:p>
      <w:pPr>
        <w:spacing w:after="120" w:line="276"/>
      </w:pPr>
      <w:r>
        <w:rPr>
          <w:rFonts w:ascii="Calibri" w:cs="Calibri" w:eastAsia="Calibri" w:hAnsi="Calibri"/>
          <w:color w:val="18212C"/>
          <w:sz w:val="22"/>
          <w:szCs w:val="22"/>
        </w:rPr>
        <w:t xml:space="preserve">1. Purpose and scope</w:t>
      </w:r>
    </w:p>
    <w:p>
      <w:pPr>
        <w:spacing w:after="120" w:line="276"/>
      </w:pPr>
      <w:r>
        <w:rPr>
          <w:rFonts w:ascii="Calibri" w:cs="Calibri" w:eastAsia="Calibri" w:hAnsi="Calibri"/>
          <w:color w:val="18212C"/>
          <w:sz w:val="22"/>
          <w:szCs w:val="22"/>
        </w:rPr>
        <w:t xml:space="preserve">2. Background and problem statement</w:t>
      </w:r>
    </w:p>
    <w:p>
      <w:pPr>
        <w:spacing w:after="120" w:line="276"/>
      </w:pPr>
      <w:r>
        <w:rPr>
          <w:rFonts w:ascii="Calibri" w:cs="Calibri" w:eastAsia="Calibri" w:hAnsi="Calibri"/>
          <w:color w:val="18212C"/>
          <w:sz w:val="22"/>
          <w:szCs w:val="22"/>
        </w:rPr>
        <w:t xml:space="preserve">3. Business objectives and success measures</w:t>
      </w:r>
    </w:p>
    <w:p>
      <w:pPr>
        <w:spacing w:after="120" w:line="276"/>
      </w:pPr>
      <w:r>
        <w:rPr>
          <w:rFonts w:ascii="Calibri" w:cs="Calibri" w:eastAsia="Calibri" w:hAnsi="Calibri"/>
          <w:color w:val="18212C"/>
          <w:sz w:val="22"/>
          <w:szCs w:val="22"/>
        </w:rPr>
        <w:t xml:space="preserve">4. Stakeholders and RACI</w:t>
      </w:r>
    </w:p>
    <w:p>
      <w:pPr>
        <w:spacing w:after="120" w:line="276"/>
      </w:pPr>
      <w:r>
        <w:rPr>
          <w:rFonts w:ascii="Calibri" w:cs="Calibri" w:eastAsia="Calibri" w:hAnsi="Calibri"/>
          <w:color w:val="18212C"/>
          <w:sz w:val="22"/>
          <w:szCs w:val="22"/>
        </w:rPr>
        <w:t xml:space="preserve">5. Current process (as-is)</w:t>
      </w:r>
    </w:p>
    <w:p>
      <w:pPr>
        <w:spacing w:after="120" w:line="276"/>
      </w:pPr>
      <w:r>
        <w:rPr>
          <w:rFonts w:ascii="Calibri" w:cs="Calibri" w:eastAsia="Calibri" w:hAnsi="Calibri"/>
          <w:color w:val="18212C"/>
          <w:sz w:val="22"/>
          <w:szCs w:val="22"/>
        </w:rPr>
        <w:t xml:space="preserve">6. Future process (to-be)</w:t>
      </w:r>
    </w:p>
    <w:p>
      <w:pPr>
        <w:spacing w:after="120" w:line="276"/>
      </w:pPr>
      <w:r>
        <w:rPr>
          <w:rFonts w:ascii="Calibri" w:cs="Calibri" w:eastAsia="Calibri" w:hAnsi="Calibri"/>
          <w:color w:val="18212C"/>
          <w:sz w:val="22"/>
          <w:szCs w:val="22"/>
        </w:rPr>
        <w:t xml:space="preserve">7. Requirements and business rules</w:t>
      </w:r>
    </w:p>
    <w:p>
      <w:pPr>
        <w:spacing w:after="120" w:line="276"/>
      </w:pPr>
      <w:r>
        <w:rPr>
          <w:rFonts w:ascii="Calibri" w:cs="Calibri" w:eastAsia="Calibri" w:hAnsi="Calibri"/>
          <w:color w:val="18212C"/>
          <w:sz w:val="22"/>
          <w:szCs w:val="22"/>
        </w:rPr>
        <w:t xml:space="preserve">8. User stories</w:t>
      </w:r>
    </w:p>
    <w:p>
      <w:pPr>
        <w:spacing w:after="120" w:line="276"/>
      </w:pPr>
      <w:r>
        <w:rPr>
          <w:rFonts w:ascii="Calibri" w:cs="Calibri" w:eastAsia="Calibri" w:hAnsi="Calibri"/>
          <w:color w:val="18212C"/>
          <w:sz w:val="22"/>
          <w:szCs w:val="22"/>
        </w:rPr>
        <w:t xml:space="preserve">9. Assumptions, constraints, dependencies and risks</w:t>
      </w:r>
    </w:p>
    <w:p>
      <w:pPr>
        <w:spacing w:after="120" w:line="276"/>
      </w:pPr>
      <w:r>
        <w:rPr>
          <w:rFonts w:ascii="Calibri" w:cs="Calibri" w:eastAsia="Calibri" w:hAnsi="Calibri"/>
          <w:color w:val="18212C"/>
          <w:sz w:val="22"/>
          <w:szCs w:val="22"/>
        </w:rPr>
        <w:t xml:space="preserve">10. Open questions</w:t>
      </w:r>
    </w:p>
    <w:p>
      <w:pPr>
        <w:spacing w:after="120" w:line="276"/>
      </w:pPr>
      <w:r>
        <w:rPr>
          <w:rFonts w:ascii="Calibri" w:cs="Calibri" w:eastAsia="Calibri" w:hAnsi="Calibri"/>
          <w:color w:val="18212C"/>
          <w:sz w:val="22"/>
          <w:szCs w:val="22"/>
        </w:rPr>
        <w:t xml:space="preserve">11. Sign-off</w:t>
      </w:r>
    </w:p>
    <w:p>
      <w:r>
        <w:br w:type="page"/>
      </w:r>
    </w:p>
    <w:p>
      <w:pPr>
        <w:pStyle w:val="Heading1"/>
        <w:spacing w:after="160" w:before="360"/>
      </w:pPr>
      <w:r>
        <w:t xml:space="preserve">1. Purpose and scope</w:t>
      </w:r>
    </w:p>
    <w:p>
      <w:pPr>
        <w:spacing w:after="120" w:line="276"/>
      </w:pPr>
      <w:r>
        <w:rPr>
          <w:rFonts w:ascii="Calibri" w:cs="Calibri" w:eastAsia="Calibri" w:hAnsi="Calibri"/>
          <w:color w:val="18212C"/>
          <w:sz w:val="22"/>
          <w:szCs w:val="22"/>
        </w:rPr>
        <w:t xml:space="preserve">This document sets out the business requirements for a controlled procure-to-pay (P2P) process covering requisition, approval, supplier onboarding, purchase ordering, goods receipt and invoice matching. It is written for the business owners who must agree the requirements and for the delivery team that will build or configure the solution.</w:t>
      </w:r>
    </w:p>
    <w:p>
      <w:pPr>
        <w:pStyle w:val="Heading2"/>
        <w:spacing w:after="120" w:before="240"/>
      </w:pPr>
      <w:r>
        <w:t xml:space="preserve">1.1 In scope</w:t>
      </w:r>
    </w:p>
    <w:p>
      <w:pPr>
        <w:pStyle w:val="ListParagraph"/>
        <w:numPr>
          <w:ilvl w:val="0"/>
          <w:numId w:val="2"/>
        </w:numPr>
        <w:spacing w:after="80"/>
      </w:pPr>
      <w:r>
        <w:rPr>
          <w:rFonts w:ascii="Calibri" w:cs="Calibri" w:eastAsia="Calibri" w:hAnsi="Calibri"/>
          <w:color w:val="18212C"/>
          <w:sz w:val="22"/>
          <w:szCs w:val="22"/>
        </w:rPr>
        <w:t xml:space="preserve">Requisitions for goods and services raised by internal departments</w:t>
      </w:r>
    </w:p>
    <w:p>
      <w:pPr>
        <w:pStyle w:val="ListParagraph"/>
        <w:numPr>
          <w:ilvl w:val="0"/>
          <w:numId w:val="2"/>
        </w:numPr>
        <w:spacing w:after="80"/>
      </w:pPr>
      <w:r>
        <w:rPr>
          <w:rFonts w:ascii="Calibri" w:cs="Calibri" w:eastAsia="Calibri" w:hAnsi="Calibri"/>
          <w:color w:val="18212C"/>
          <w:sz w:val="22"/>
          <w:szCs w:val="22"/>
        </w:rPr>
        <w:t xml:space="preserve">Approval routing and the approval matrix</w:t>
      </w:r>
    </w:p>
    <w:p>
      <w:pPr>
        <w:pStyle w:val="ListParagraph"/>
        <w:numPr>
          <w:ilvl w:val="0"/>
          <w:numId w:val="2"/>
        </w:numPr>
        <w:spacing w:after="80"/>
      </w:pPr>
      <w:r>
        <w:rPr>
          <w:rFonts w:ascii="Calibri" w:cs="Calibri" w:eastAsia="Calibri" w:hAnsi="Calibri"/>
          <w:color w:val="18212C"/>
          <w:sz w:val="22"/>
          <w:szCs w:val="22"/>
        </w:rPr>
        <w:t xml:space="preserve">Supplier onboarding and due diligence (KYC) status</w:t>
      </w:r>
    </w:p>
    <w:p>
      <w:pPr>
        <w:pStyle w:val="ListParagraph"/>
        <w:numPr>
          <w:ilvl w:val="0"/>
          <w:numId w:val="2"/>
        </w:numPr>
        <w:spacing w:after="80"/>
      </w:pPr>
      <w:r>
        <w:rPr>
          <w:rFonts w:ascii="Calibri" w:cs="Calibri" w:eastAsia="Calibri" w:hAnsi="Calibri"/>
          <w:color w:val="18212C"/>
          <w:sz w:val="22"/>
          <w:szCs w:val="22"/>
        </w:rPr>
        <w:t xml:space="preserve">Purchase order creation and issue</w:t>
      </w:r>
    </w:p>
    <w:p>
      <w:pPr>
        <w:pStyle w:val="ListParagraph"/>
        <w:numPr>
          <w:ilvl w:val="0"/>
          <w:numId w:val="2"/>
        </w:numPr>
        <w:spacing w:after="80"/>
      </w:pPr>
      <w:r>
        <w:rPr>
          <w:rFonts w:ascii="Calibri" w:cs="Calibri" w:eastAsia="Calibri" w:hAnsi="Calibri"/>
          <w:color w:val="18212C"/>
          <w:sz w:val="22"/>
          <w:szCs w:val="22"/>
        </w:rPr>
        <w:t xml:space="preserve">Goods and service receipt</w:t>
      </w:r>
    </w:p>
    <w:p>
      <w:pPr>
        <w:pStyle w:val="ListParagraph"/>
        <w:numPr>
          <w:ilvl w:val="0"/>
          <w:numId w:val="2"/>
        </w:numPr>
        <w:spacing w:after="80"/>
      </w:pPr>
      <w:r>
        <w:rPr>
          <w:rFonts w:ascii="Calibri" w:cs="Calibri" w:eastAsia="Calibri" w:hAnsi="Calibri"/>
          <w:color w:val="18212C"/>
          <w:sz w:val="22"/>
          <w:szCs w:val="22"/>
        </w:rPr>
        <w:t xml:space="preserve">Three-way matching of invoice, PO and receipt, and the exception queue</w:t>
      </w:r>
    </w:p>
    <w:p>
      <w:pPr>
        <w:pStyle w:val="ListParagraph"/>
        <w:numPr>
          <w:ilvl w:val="0"/>
          <w:numId w:val="2"/>
        </w:numPr>
        <w:spacing w:after="80"/>
      </w:pPr>
      <w:r>
        <w:rPr>
          <w:rFonts w:ascii="Calibri" w:cs="Calibri" w:eastAsia="Calibri" w:hAnsi="Calibri"/>
          <w:color w:val="18212C"/>
          <w:sz w:val="22"/>
          <w:szCs w:val="22"/>
        </w:rPr>
        <w:t xml:space="preserve">Audit trail and segregation of duties</w:t>
      </w:r>
    </w:p>
    <w:p>
      <w:pPr>
        <w:pStyle w:val="ListParagraph"/>
        <w:numPr>
          <w:ilvl w:val="0"/>
          <w:numId w:val="2"/>
        </w:numPr>
        <w:spacing w:after="80"/>
      </w:pPr>
      <w:r>
        <w:rPr>
          <w:rFonts w:ascii="Calibri" w:cs="Calibri" w:eastAsia="Calibri" w:hAnsi="Calibri"/>
          <w:color w:val="18212C"/>
          <w:sz w:val="22"/>
          <w:szCs w:val="22"/>
        </w:rPr>
        <w:t xml:space="preserve">Process performance reporting</w:t>
      </w:r>
    </w:p>
    <w:p>
      <w:pPr>
        <w:pStyle w:val="Heading2"/>
        <w:spacing w:after="120" w:before="240"/>
      </w:pPr>
      <w:r>
        <w:t xml:space="preserve">1.2 Out of scope</w:t>
      </w:r>
    </w:p>
    <w:p>
      <w:pPr>
        <w:pStyle w:val="ListParagraph"/>
        <w:numPr>
          <w:ilvl w:val="0"/>
          <w:numId w:val="2"/>
        </w:numPr>
        <w:spacing w:after="80"/>
      </w:pPr>
      <w:r>
        <w:rPr>
          <w:rFonts w:ascii="Calibri" w:cs="Calibri" w:eastAsia="Calibri" w:hAnsi="Calibri"/>
          <w:color w:val="18212C"/>
          <w:sz w:val="22"/>
          <w:szCs w:val="22"/>
        </w:rPr>
        <w:t xml:space="preserve">Strategic sourcing and tendering for contracts</w:t>
      </w:r>
    </w:p>
    <w:p>
      <w:pPr>
        <w:pStyle w:val="ListParagraph"/>
        <w:numPr>
          <w:ilvl w:val="0"/>
          <w:numId w:val="2"/>
        </w:numPr>
        <w:spacing w:after="80"/>
      </w:pPr>
      <w:r>
        <w:rPr>
          <w:rFonts w:ascii="Calibri" w:cs="Calibri" w:eastAsia="Calibri" w:hAnsi="Calibri"/>
          <w:color w:val="18212C"/>
          <w:sz w:val="22"/>
          <w:szCs w:val="22"/>
        </w:rPr>
        <w:t xml:space="preserve">Contract lifecycle management</w:t>
      </w:r>
    </w:p>
    <w:p>
      <w:pPr>
        <w:pStyle w:val="ListParagraph"/>
        <w:numPr>
          <w:ilvl w:val="0"/>
          <w:numId w:val="2"/>
        </w:numPr>
        <w:spacing w:after="80"/>
      </w:pPr>
      <w:r>
        <w:rPr>
          <w:rFonts w:ascii="Calibri" w:cs="Calibri" w:eastAsia="Calibri" w:hAnsi="Calibri"/>
          <w:color w:val="18212C"/>
          <w:sz w:val="22"/>
          <w:szCs w:val="22"/>
        </w:rPr>
        <w:t xml:space="preserve">Payment execution in the core banking system (the P2P process hands over an approved invoice)</w:t>
      </w:r>
    </w:p>
    <w:p>
      <w:pPr>
        <w:pStyle w:val="ListParagraph"/>
        <w:numPr>
          <w:ilvl w:val="0"/>
          <w:numId w:val="2"/>
        </w:numPr>
        <w:spacing w:after="80"/>
      </w:pPr>
      <w:r>
        <w:rPr>
          <w:rFonts w:ascii="Calibri" w:cs="Calibri" w:eastAsia="Calibri" w:hAnsi="Calibri"/>
          <w:color w:val="18212C"/>
          <w:sz w:val="22"/>
          <w:szCs w:val="22"/>
        </w:rPr>
        <w:t xml:space="preserve">Choice of software vendor</w:t>
      </w:r>
    </w:p>
    <w:p>
      <w:pPr>
        <w:pStyle w:val="Heading1"/>
        <w:spacing w:after="160" w:before="360"/>
      </w:pPr>
      <w:r>
        <w:t xml:space="preserve">2. Background and problem statement</w:t>
      </w:r>
    </w:p>
    <w:p>
      <w:pPr>
        <w:spacing w:after="120" w:line="276"/>
      </w:pPr>
      <w:r>
        <w:rPr>
          <w:rFonts w:ascii="Calibri" w:cs="Calibri" w:eastAsia="Calibri" w:hAnsi="Calibri"/>
          <w:color w:val="18212C"/>
          <w:sz w:val="22"/>
          <w:szCs w:val="22"/>
        </w:rPr>
        <w:t xml:space="preserve">Banks are closely regulated, so every purchase must be traceable. The current process relies on email chains, spreadsheets and manual checks. It works, but slowly, and it depends on individuals knowing what to do and who to ask.</w:t>
      </w:r>
    </w:p>
    <w:p>
      <w:pPr>
        <w:spacing w:after="120" w:line="276"/>
      </w:pPr>
      <w:r>
        <w:rPr>
          <w:rFonts w:ascii="Calibri" w:cs="Calibri" w:eastAsia="Calibri" w:hAnsi="Calibri"/>
          <w:b/>
          <w:bCs/>
          <w:color w:val="18212C"/>
          <w:sz w:val="22"/>
          <w:szCs w:val="22"/>
        </w:rPr>
        <w:t xml:space="preserve">Problem statement: </w:t>
      </w:r>
      <w:r>
        <w:rPr>
          <w:rFonts w:ascii="Calibri" w:cs="Calibri" w:eastAsia="Calibri" w:hAnsi="Calibri"/>
          <w:color w:val="18212C"/>
          <w:sz w:val="22"/>
          <w:szCs w:val="22"/>
        </w:rPr>
        <w:t xml:space="preserve">Incomplete requisitions, email-based approvals, inconsistent supplier onboarding and manual invoice matching slow purchasing down, weaken the audit trail, and create a risk that the bank pays a supplier whose due diligence is incomplete.</w:t>
      </w:r>
    </w:p>
    <w:p>
      <w:pPr>
        <w:pStyle w:val="Heading2"/>
        <w:spacing w:after="120" w:before="240"/>
      </w:pPr>
      <w:r>
        <w:t xml:space="preserve">2.1 Pain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4513"/>
        <w:gridCol w:w="3610"/>
      </w:tblGrid>
      <w:tr>
        <w:trPr>
          <w:tblHeader/>
        </w:trPr>
        <w:tc>
          <w:tcPr>
            <w:tcW w:type="dxa" w:w="903"/>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ID</w:t>
            </w:r>
          </w:p>
        </w:tc>
        <w:tc>
          <w:tcPr>
            <w:tcW w:type="dxa" w:w="4513"/>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Pain point</w:t>
            </w:r>
          </w:p>
        </w:tc>
        <w:tc>
          <w:tcPr>
            <w:tcW w:type="dxa" w:w="3610"/>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Impact</w:t>
            </w:r>
          </w:p>
        </w:tc>
      </w:tr>
      <w:tr>
        <w:trPr>
          <w:cantSplit/>
        </w:trPr>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P-01</w:t>
            </w:r>
          </w:p>
        </w:tc>
        <w:tc>
          <w:tcPr>
            <w:tcW w:type="dxa" w:w="451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Requisitions arrive incomplete, which causes back-and-forth before a PO can be raised.</w:t>
            </w:r>
          </w:p>
        </w:tc>
        <w:tc>
          <w:tcPr>
            <w:tcW w:type="dxa" w:w="3610"/>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Rework for procurement; slower cycle time for requesters.</w:t>
            </w:r>
          </w:p>
        </w:tc>
      </w:tr>
      <w:tr>
        <w:trPr>
          <w:cantSplit/>
        </w:trPr>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P-02</w:t>
            </w:r>
          </w:p>
        </w:tc>
        <w:tc>
          <w:tcPr>
            <w:tcW w:type="dxa" w:w="451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Approval routing depends on people knowing who to email.</w:t>
            </w:r>
          </w:p>
        </w:tc>
        <w:tc>
          <w:tcPr>
            <w:tcW w:type="dxa" w:w="3610"/>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Approvals stall or go to the wrong person; no reliable record of who approved what.</w:t>
            </w:r>
          </w:p>
        </w:tc>
      </w:tr>
      <w:tr>
        <w:trPr>
          <w:cantSplit/>
        </w:trPr>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P-03</w:t>
            </w:r>
          </w:p>
        </w:tc>
        <w:tc>
          <w:tcPr>
            <w:tcW w:type="dxa" w:w="451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Supplier onboarding documents are collected inconsistently.</w:t>
            </w:r>
          </w:p>
        </w:tc>
        <w:tc>
          <w:tcPr>
            <w:tcW w:type="dxa" w:w="3610"/>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POs can be issued to suppliers whose due diligence (KYC) is incomplete: a regulatory risk.</w:t>
            </w:r>
          </w:p>
        </w:tc>
      </w:tr>
      <w:tr>
        <w:trPr>
          <w:cantSplit/>
        </w:trPr>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P-04</w:t>
            </w:r>
          </w:p>
        </w:tc>
        <w:tc>
          <w:tcPr>
            <w:tcW w:type="dxa" w:w="451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Three-way match (PO, goods receipt, invoice) is checked by hand.</w:t>
            </w:r>
          </w:p>
        </w:tc>
        <w:tc>
          <w:tcPr>
            <w:tcW w:type="dxa" w:w="3610"/>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Payment delays, late-payment friction with suppliers, and errors that are hard to trace.</w:t>
            </w:r>
          </w:p>
        </w:tc>
      </w:tr>
    </w:tbl>
    <w:p>
      <w:pPr>
        <w:pStyle w:val="Heading1"/>
        <w:spacing w:after="160" w:before="360"/>
      </w:pPr>
      <w:r>
        <w:t xml:space="preserve">3. Business objectives and success measures</w:t>
      </w:r>
    </w:p>
    <w:p>
      <w:pPr>
        <w:pStyle w:val="ListParagraph"/>
        <w:numPr>
          <w:ilvl w:val="0"/>
          <w:numId w:val="2"/>
        </w:numPr>
        <w:spacing w:after="80"/>
      </w:pPr>
      <w:r>
        <w:rPr>
          <w:rFonts w:ascii="Calibri" w:cs="Calibri" w:eastAsia="Calibri" w:hAnsi="Calibri"/>
          <w:color w:val="18212C"/>
          <w:sz w:val="22"/>
          <w:szCs w:val="22"/>
        </w:rPr>
        <w:t xml:space="preserve">Make the compliant path the easiest path for requesters</w:t>
      </w:r>
    </w:p>
    <w:p>
      <w:pPr>
        <w:pStyle w:val="ListParagraph"/>
        <w:numPr>
          <w:ilvl w:val="0"/>
          <w:numId w:val="2"/>
        </w:numPr>
        <w:spacing w:after="80"/>
      </w:pPr>
      <w:r>
        <w:rPr>
          <w:rFonts w:ascii="Calibri" w:cs="Calibri" w:eastAsia="Calibri" w:hAnsi="Calibri"/>
          <w:color w:val="18212C"/>
          <w:sz w:val="22"/>
          <w:szCs w:val="22"/>
        </w:rPr>
        <w:t xml:space="preserve">Remove the possibility of issuing POs to unverified suppliers</w:t>
      </w:r>
    </w:p>
    <w:p>
      <w:pPr>
        <w:pStyle w:val="ListParagraph"/>
        <w:numPr>
          <w:ilvl w:val="0"/>
          <w:numId w:val="2"/>
        </w:numPr>
        <w:spacing w:after="80"/>
      </w:pPr>
      <w:r>
        <w:rPr>
          <w:rFonts w:ascii="Calibri" w:cs="Calibri" w:eastAsia="Calibri" w:hAnsi="Calibri"/>
          <w:color w:val="18212C"/>
          <w:sz w:val="22"/>
          <w:szCs w:val="22"/>
        </w:rPr>
        <w:t xml:space="preserve">Give audit a complete, system-held trail for every purchase</w:t>
      </w:r>
    </w:p>
    <w:p>
      <w:pPr>
        <w:pStyle w:val="ListParagraph"/>
        <w:numPr>
          <w:ilvl w:val="0"/>
          <w:numId w:val="2"/>
        </w:numPr>
        <w:spacing w:after="80"/>
      </w:pPr>
      <w:r>
        <w:rPr>
          <w:rFonts w:ascii="Calibri" w:cs="Calibri" w:eastAsia="Calibri" w:hAnsi="Calibri"/>
          <w:color w:val="18212C"/>
          <w:sz w:val="22"/>
          <w:szCs w:val="22"/>
        </w:rPr>
        <w:t xml:space="preserve">Pay correctly matched invoices without manual checking</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4332"/>
        <w:gridCol w:w="2167"/>
      </w:tblGrid>
      <w:tr>
        <w:trPr>
          <w:tblHeader/>
        </w:trPr>
        <w:tc>
          <w:tcPr>
            <w:tcW w:type="dxa" w:w="2527"/>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KPI</w:t>
            </w:r>
          </w:p>
        </w:tc>
        <w:tc>
          <w:tcPr>
            <w:tcW w:type="dxa" w:w="4332"/>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Definition</w:t>
            </w:r>
          </w:p>
        </w:tc>
        <w:tc>
          <w:tcPr>
            <w:tcW w:type="dxa" w:w="2167"/>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Target</w:t>
            </w:r>
          </w:p>
        </w:tc>
      </w:tr>
      <w:tr>
        <w:trPr>
          <w:cantSplit/>
        </w:trPr>
        <w:tc>
          <w:tcPr>
            <w:tcW w:type="dxa" w:w="252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Requisition-to-PO cycle time</w:t>
            </w:r>
          </w:p>
        </w:tc>
        <w:tc>
          <w:tcPr>
            <w:tcW w:type="dxa" w:w="433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Median working days from requisition submitted to PO issued</w:t>
            </w:r>
          </w:p>
        </w:tc>
        <w:tc>
          <w:tcPr>
            <w:tcW w:type="dxa" w:w="216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Reduce (baseline to be measured in discovery)</w:t>
            </w:r>
          </w:p>
        </w:tc>
      </w:tr>
      <w:tr>
        <w:trPr>
          <w:cantSplit/>
        </w:trPr>
        <w:tc>
          <w:tcPr>
            <w:tcW w:type="dxa" w:w="252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First-time-complete requisitions</w:t>
            </w:r>
          </w:p>
        </w:tc>
        <w:tc>
          <w:tcPr>
            <w:tcW w:type="dxa" w:w="433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Requisitions approved without being returned for missing information ÷ all requisitions</w:t>
            </w:r>
          </w:p>
        </w:tc>
        <w:tc>
          <w:tcPr>
            <w:tcW w:type="dxa" w:w="216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 95%</w:t>
            </w:r>
          </w:p>
        </w:tc>
      </w:tr>
      <w:tr>
        <w:trPr>
          <w:cantSplit/>
        </w:trPr>
        <w:tc>
          <w:tcPr>
            <w:tcW w:type="dxa" w:w="252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Spend with unverified suppliers</w:t>
            </w:r>
          </w:p>
        </w:tc>
        <w:tc>
          <w:tcPr>
            <w:tcW w:type="dxa" w:w="433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PO value issued to suppliers not in Verified status</w:t>
            </w:r>
          </w:p>
        </w:tc>
        <w:tc>
          <w:tcPr>
            <w:tcW w:type="dxa" w:w="216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Zero</w:t>
            </w:r>
          </w:p>
        </w:tc>
      </w:tr>
      <w:tr>
        <w:trPr>
          <w:cantSplit/>
        </w:trPr>
        <w:tc>
          <w:tcPr>
            <w:tcW w:type="dxa" w:w="252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First-time match rate</w:t>
            </w:r>
          </w:p>
        </w:tc>
        <w:tc>
          <w:tcPr>
            <w:tcW w:type="dxa" w:w="433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Invoices matched within tolerance without manual intervention ÷ all invoices</w:t>
            </w:r>
          </w:p>
        </w:tc>
        <w:tc>
          <w:tcPr>
            <w:tcW w:type="dxa" w:w="216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 85%</w:t>
            </w:r>
          </w:p>
        </w:tc>
      </w:tr>
      <w:tr>
        <w:trPr>
          <w:cantSplit/>
        </w:trPr>
        <w:tc>
          <w:tcPr>
            <w:tcW w:type="dxa" w:w="252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Invoice-to-pay time</w:t>
            </w:r>
          </w:p>
        </w:tc>
        <w:tc>
          <w:tcPr>
            <w:tcW w:type="dxa" w:w="433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Median days from invoice receipt to payment</w:t>
            </w:r>
          </w:p>
        </w:tc>
        <w:tc>
          <w:tcPr>
            <w:tcW w:type="dxa" w:w="216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Within agreed supplier terms</w:t>
            </w:r>
          </w:p>
        </w:tc>
      </w:tr>
      <w:tr>
        <w:trPr>
          <w:cantSplit/>
        </w:trPr>
        <w:tc>
          <w:tcPr>
            <w:tcW w:type="dxa" w:w="252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Audit findings on P2P</w:t>
            </w:r>
          </w:p>
        </w:tc>
        <w:tc>
          <w:tcPr>
            <w:tcW w:type="dxa" w:w="433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Internal audit findings raised against the P2P process</w:t>
            </w:r>
          </w:p>
        </w:tc>
        <w:tc>
          <w:tcPr>
            <w:tcW w:type="dxa" w:w="216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Downward trend</w:t>
            </w:r>
          </w:p>
        </w:tc>
      </w:tr>
    </w:tbl>
    <w:p>
      <w:pPr>
        <w:spacing w:after="120" w:line="276"/>
        <w:rPr>
          <w:color w:val="5B6878"/>
          <w:sz w:val="20"/>
          <w:szCs w:val="20"/>
        </w:rPr>
      </w:pPr>
      <w:r>
        <w:rPr>
          <w:rFonts w:ascii="Calibri" w:cs="Calibri" w:eastAsia="Calibri" w:hAnsi="Calibri"/>
          <w:color w:val="5B6878"/>
          <w:sz w:val="20"/>
          <w:szCs w:val="20"/>
        </w:rPr>
        <w:t xml:space="preserve">Baselines will be measured in the first month of discovery, from a sample of recent requisitions and invoices, before targets are confirmed.</w:t>
      </w:r>
    </w:p>
    <w:p>
      <w:pPr>
        <w:pStyle w:val="Heading1"/>
        <w:spacing w:after="160" w:before="360"/>
      </w:pPr>
      <w:r>
        <w:t xml:space="preserve">4.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1805"/>
        <w:gridCol w:w="2527"/>
        <w:gridCol w:w="993"/>
        <w:gridCol w:w="993"/>
        <w:gridCol w:w="1986"/>
      </w:tblGrid>
      <w:tr>
        <w:trPr>
          <w:tblHeader/>
        </w:trPr>
        <w:tc>
          <w:tcPr>
            <w:tcW w:type="dxa" w:w="722"/>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ID</w:t>
            </w:r>
          </w:p>
        </w:tc>
        <w:tc>
          <w:tcPr>
            <w:tcW w:type="dxa" w:w="1805"/>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Stakeholder</w:t>
            </w:r>
          </w:p>
        </w:tc>
        <w:tc>
          <w:tcPr>
            <w:tcW w:type="dxa" w:w="2527"/>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Interest</w:t>
            </w:r>
          </w:p>
        </w:tc>
        <w:tc>
          <w:tcPr>
            <w:tcW w:type="dxa" w:w="993"/>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Influence</w:t>
            </w:r>
          </w:p>
        </w:tc>
        <w:tc>
          <w:tcPr>
            <w:tcW w:type="dxa" w:w="993"/>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Impact on them</w:t>
            </w:r>
          </w:p>
        </w:tc>
        <w:tc>
          <w:tcPr>
            <w:tcW w:type="dxa" w:w="1986"/>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Engagement</w:t>
            </w:r>
          </w:p>
        </w:tc>
      </w:tr>
      <w:tr>
        <w:trPr>
          <w:cantSplit/>
        </w:trPr>
        <w:tc>
          <w:tcPr>
            <w:tcW w:type="dxa" w:w="72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SH-01</w:t>
            </w:r>
          </w:p>
        </w:tc>
        <w:tc>
          <w:tcPr>
            <w:tcW w:type="dxa" w:w="1805"/>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Requesting departments</w:t>
            </w:r>
          </w:p>
        </w:tc>
        <w:tc>
          <w:tcPr>
            <w:tcW w:type="dxa" w:w="252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Fast, simple way to buy what they need</w:t>
            </w:r>
          </w:p>
        </w:tc>
        <w:tc>
          <w:tcPr>
            <w:tcW w:type="dxa" w:w="99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Medium</w:t>
            </w:r>
          </w:p>
        </w:tc>
        <w:tc>
          <w:tcPr>
            <w:tcW w:type="dxa" w:w="99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High</w:t>
            </w:r>
          </w:p>
        </w:tc>
        <w:tc>
          <w:tcPr>
            <w:tcW w:type="dxa" w:w="1986"/>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Keep informed; involve in UAT</w:t>
            </w:r>
          </w:p>
        </w:tc>
      </w:tr>
      <w:tr>
        <w:trPr>
          <w:cantSplit/>
        </w:trPr>
        <w:tc>
          <w:tcPr>
            <w:tcW w:type="dxa" w:w="72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SH-02</w:t>
            </w:r>
          </w:p>
        </w:tc>
        <w:tc>
          <w:tcPr>
            <w:tcW w:type="dxa" w:w="1805"/>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Procurement team</w:t>
            </w:r>
          </w:p>
        </w:tc>
        <w:tc>
          <w:tcPr>
            <w:tcW w:type="dxa" w:w="252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Fair sourcing, controlled spend, less rework</w:t>
            </w:r>
          </w:p>
        </w:tc>
        <w:tc>
          <w:tcPr>
            <w:tcW w:type="dxa" w:w="99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High</w:t>
            </w:r>
          </w:p>
        </w:tc>
        <w:tc>
          <w:tcPr>
            <w:tcW w:type="dxa" w:w="99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High</w:t>
            </w:r>
          </w:p>
        </w:tc>
        <w:tc>
          <w:tcPr>
            <w:tcW w:type="dxa" w:w="1986"/>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Manage closely; co-design</w:t>
            </w:r>
          </w:p>
        </w:tc>
      </w:tr>
      <w:tr>
        <w:trPr>
          <w:cantSplit/>
        </w:trPr>
        <w:tc>
          <w:tcPr>
            <w:tcW w:type="dxa" w:w="72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SH-03</w:t>
            </w:r>
          </w:p>
        </w:tc>
        <w:tc>
          <w:tcPr>
            <w:tcW w:type="dxa" w:w="1805"/>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Finance / Accounts payable</w:t>
            </w:r>
          </w:p>
        </w:tc>
        <w:tc>
          <w:tcPr>
            <w:tcW w:type="dxa" w:w="252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Invoices match POs and receipts; budget control</w:t>
            </w:r>
          </w:p>
        </w:tc>
        <w:tc>
          <w:tcPr>
            <w:tcW w:type="dxa" w:w="99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High</w:t>
            </w:r>
          </w:p>
        </w:tc>
        <w:tc>
          <w:tcPr>
            <w:tcW w:type="dxa" w:w="99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High</w:t>
            </w:r>
          </w:p>
        </w:tc>
        <w:tc>
          <w:tcPr>
            <w:tcW w:type="dxa" w:w="1986"/>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Manage closely; own approval matrix and tolerances</w:t>
            </w:r>
          </w:p>
        </w:tc>
      </w:tr>
      <w:tr>
        <w:trPr>
          <w:cantSplit/>
        </w:trPr>
        <w:tc>
          <w:tcPr>
            <w:tcW w:type="dxa" w:w="72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SH-04</w:t>
            </w:r>
          </w:p>
        </w:tc>
        <w:tc>
          <w:tcPr>
            <w:tcW w:type="dxa" w:w="1805"/>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Compliance &amp; internal audit</w:t>
            </w:r>
          </w:p>
        </w:tc>
        <w:tc>
          <w:tcPr>
            <w:tcW w:type="dxa" w:w="252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Full audit trail, supplier due diligence (KYC)</w:t>
            </w:r>
          </w:p>
        </w:tc>
        <w:tc>
          <w:tcPr>
            <w:tcW w:type="dxa" w:w="99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High</w:t>
            </w:r>
          </w:p>
        </w:tc>
        <w:tc>
          <w:tcPr>
            <w:tcW w:type="dxa" w:w="99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Medium</w:t>
            </w:r>
          </w:p>
        </w:tc>
        <w:tc>
          <w:tcPr>
            <w:tcW w:type="dxa" w:w="1986"/>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Manage closely; sign off controls</w:t>
            </w:r>
          </w:p>
        </w:tc>
      </w:tr>
      <w:tr>
        <w:trPr>
          <w:cantSplit/>
        </w:trPr>
        <w:tc>
          <w:tcPr>
            <w:tcW w:type="dxa" w:w="72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SH-05</w:t>
            </w:r>
          </w:p>
        </w:tc>
        <w:tc>
          <w:tcPr>
            <w:tcW w:type="dxa" w:w="1805"/>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Suppliers</w:t>
            </w:r>
          </w:p>
        </w:tc>
        <w:tc>
          <w:tcPr>
            <w:tcW w:type="dxa" w:w="252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Clear onboarding, on-time payment</w:t>
            </w:r>
          </w:p>
        </w:tc>
        <w:tc>
          <w:tcPr>
            <w:tcW w:type="dxa" w:w="99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Low</w:t>
            </w:r>
          </w:p>
        </w:tc>
        <w:tc>
          <w:tcPr>
            <w:tcW w:type="dxa" w:w="99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Medium</w:t>
            </w:r>
          </w:p>
        </w:tc>
        <w:tc>
          <w:tcPr>
            <w:tcW w:type="dxa" w:w="1986"/>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Keep informed</w:t>
            </w:r>
          </w:p>
        </w:tc>
      </w:tr>
    </w:tbl>
    <w:p>
      <w:pPr>
        <w:pStyle w:val="Heading2"/>
        <w:spacing w:after="120" w:before="240"/>
      </w:pPr>
      <w:r>
        <w:t xml:space="preserve">4.1 RACI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534"/>
        <w:gridCol w:w="1534"/>
        <w:gridCol w:w="1534"/>
        <w:gridCol w:w="1536"/>
      </w:tblGrid>
      <w:tr>
        <w:trPr>
          <w:tblHeader/>
        </w:trPr>
        <w:tc>
          <w:tcPr>
            <w:tcW w:type="dxa" w:w="2888"/>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Activity</w:t>
            </w:r>
          </w:p>
        </w:tc>
        <w:tc>
          <w:tcPr>
            <w:tcW w:type="dxa" w:w="1534"/>
            <w:shd w:fill="E8EDF4" w:color="auto" w:val="clear"/>
            <w:tcMar>
              <w:top w:type="dxa" w:w="60"/>
              <w:left w:type="dxa" w:w="100"/>
              <w:bottom w:type="dxa" w:w="60"/>
              <w:right w:type="dxa" w:w="100"/>
            </w:tcMar>
          </w:tcPr>
          <w:p>
            <w:pPr>
              <w:spacing w:after="40"/>
              <w:jc w:val="center"/>
            </w:pPr>
            <w:r>
              <w:rPr>
                <w:rFonts w:ascii="Calibri" w:cs="Calibri" w:eastAsia="Calibri" w:hAnsi="Calibri"/>
                <w:b/>
                <w:bCs/>
                <w:color w:val="18212C"/>
                <w:sz w:val="18"/>
                <w:szCs w:val="18"/>
              </w:rPr>
              <w:t xml:space="preserve">Requester</w:t>
            </w:r>
          </w:p>
        </w:tc>
        <w:tc>
          <w:tcPr>
            <w:tcW w:type="dxa" w:w="1534"/>
            <w:shd w:fill="E8EDF4" w:color="auto" w:val="clear"/>
            <w:tcMar>
              <w:top w:type="dxa" w:w="60"/>
              <w:left w:type="dxa" w:w="100"/>
              <w:bottom w:type="dxa" w:w="60"/>
              <w:right w:type="dxa" w:w="100"/>
            </w:tcMar>
          </w:tcPr>
          <w:p>
            <w:pPr>
              <w:spacing w:after="40"/>
              <w:jc w:val="center"/>
            </w:pPr>
            <w:r>
              <w:rPr>
                <w:rFonts w:ascii="Calibri" w:cs="Calibri" w:eastAsia="Calibri" w:hAnsi="Calibri"/>
                <w:b/>
                <w:bCs/>
                <w:color w:val="18212C"/>
                <w:sz w:val="18"/>
                <w:szCs w:val="18"/>
              </w:rPr>
              <w:t xml:space="preserve">Procurement</w:t>
            </w:r>
          </w:p>
        </w:tc>
        <w:tc>
          <w:tcPr>
            <w:tcW w:type="dxa" w:w="1534"/>
            <w:shd w:fill="E8EDF4" w:color="auto" w:val="clear"/>
            <w:tcMar>
              <w:top w:type="dxa" w:w="60"/>
              <w:left w:type="dxa" w:w="100"/>
              <w:bottom w:type="dxa" w:w="60"/>
              <w:right w:type="dxa" w:w="100"/>
            </w:tcMar>
          </w:tcPr>
          <w:p>
            <w:pPr>
              <w:spacing w:after="40"/>
              <w:jc w:val="center"/>
            </w:pPr>
            <w:r>
              <w:rPr>
                <w:rFonts w:ascii="Calibri" w:cs="Calibri" w:eastAsia="Calibri" w:hAnsi="Calibri"/>
                <w:b/>
                <w:bCs/>
                <w:color w:val="18212C"/>
                <w:sz w:val="18"/>
                <w:szCs w:val="18"/>
              </w:rPr>
              <w:t xml:space="preserve">Finance</w:t>
            </w:r>
          </w:p>
        </w:tc>
        <w:tc>
          <w:tcPr>
            <w:tcW w:type="dxa" w:w="1536"/>
            <w:shd w:fill="E8EDF4" w:color="auto" w:val="clear"/>
            <w:tcMar>
              <w:top w:type="dxa" w:w="60"/>
              <w:left w:type="dxa" w:w="100"/>
              <w:bottom w:type="dxa" w:w="60"/>
              <w:right w:type="dxa" w:w="100"/>
            </w:tcMar>
          </w:tcPr>
          <w:p>
            <w:pPr>
              <w:spacing w:after="40"/>
              <w:jc w:val="center"/>
            </w:pPr>
            <w:r>
              <w:rPr>
                <w:rFonts w:ascii="Calibri" w:cs="Calibri" w:eastAsia="Calibri" w:hAnsi="Calibri"/>
                <w:b/>
                <w:bCs/>
                <w:color w:val="18212C"/>
                <w:sz w:val="18"/>
                <w:szCs w:val="18"/>
              </w:rPr>
              <w:t xml:space="preserve">Compliance</w:t>
            </w:r>
          </w:p>
        </w:tc>
      </w:tr>
      <w:tr>
        <w:trPr>
          <w:cantSplit/>
        </w:trPr>
        <w:tc>
          <w:tcPr>
            <w:tcW w:type="dxa" w:w="2888"/>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Raise requisition</w:t>
            </w:r>
          </w:p>
        </w:tc>
        <w:tc>
          <w:tcPr>
            <w:tcW w:type="dxa" w:w="1534"/>
            <w:tcMar>
              <w:top w:type="dxa" w:w="60"/>
              <w:left w:type="dxa" w:w="100"/>
              <w:bottom w:type="dxa" w:w="60"/>
              <w:right w:type="dxa" w:w="100"/>
            </w:tcMar>
          </w:tcPr>
          <w:p>
            <w:pPr>
              <w:spacing w:after="40"/>
              <w:jc w:val="center"/>
            </w:pPr>
            <w:r>
              <w:rPr>
                <w:rFonts w:ascii="Calibri" w:cs="Calibri" w:eastAsia="Calibri" w:hAnsi="Calibri"/>
                <w:b w:val="false"/>
                <w:bCs w:val="false"/>
                <w:color w:val="18212C"/>
                <w:sz w:val="19"/>
                <w:szCs w:val="19"/>
              </w:rPr>
              <w:t xml:space="preserve">R/A</w:t>
            </w:r>
          </w:p>
        </w:tc>
        <w:tc>
          <w:tcPr>
            <w:tcW w:type="dxa" w:w="1534"/>
            <w:tcMar>
              <w:top w:type="dxa" w:w="60"/>
              <w:left w:type="dxa" w:w="100"/>
              <w:bottom w:type="dxa" w:w="60"/>
              <w:right w:type="dxa" w:w="100"/>
            </w:tcMar>
          </w:tcPr>
          <w:p>
            <w:pPr>
              <w:spacing w:after="40"/>
              <w:jc w:val="center"/>
            </w:pPr>
            <w:r>
              <w:rPr>
                <w:rFonts w:ascii="Calibri" w:cs="Calibri" w:eastAsia="Calibri" w:hAnsi="Calibri"/>
                <w:b w:val="false"/>
                <w:bCs w:val="false"/>
                <w:color w:val="18212C"/>
                <w:sz w:val="19"/>
                <w:szCs w:val="19"/>
              </w:rPr>
              <w:t xml:space="preserve">I</w:t>
            </w:r>
          </w:p>
        </w:tc>
        <w:tc>
          <w:tcPr>
            <w:tcW w:type="dxa" w:w="1534"/>
            <w:tcMar>
              <w:top w:type="dxa" w:w="60"/>
              <w:left w:type="dxa" w:w="100"/>
              <w:bottom w:type="dxa" w:w="60"/>
              <w:right w:type="dxa" w:w="100"/>
            </w:tcMar>
          </w:tcPr>
          <w:p>
            <w:pPr>
              <w:spacing w:after="40"/>
              <w:jc w:val="center"/>
            </w:pPr>
            <w:r>
              <w:rPr>
                <w:rFonts w:ascii="Calibri" w:cs="Calibri" w:eastAsia="Calibri" w:hAnsi="Calibri"/>
                <w:b w:val="false"/>
                <w:bCs w:val="false"/>
                <w:color w:val="18212C"/>
                <w:sz w:val="19"/>
                <w:szCs w:val="19"/>
              </w:rPr>
              <w:t xml:space="preserve">I</w:t>
            </w:r>
          </w:p>
        </w:tc>
        <w:tc>
          <w:tcPr>
            <w:tcW w:type="dxa" w:w="1536"/>
            <w:tcMar>
              <w:top w:type="dxa" w:w="60"/>
              <w:left w:type="dxa" w:w="100"/>
              <w:bottom w:type="dxa" w:w="60"/>
              <w:right w:type="dxa" w:w="100"/>
            </w:tcMar>
          </w:tcPr>
          <w:p>
            <w:pPr>
              <w:spacing w:after="40"/>
              <w:jc w:val="center"/>
            </w:pPr>
            <w:r>
              <w:rPr>
                <w:rFonts w:ascii="Calibri" w:cs="Calibri" w:eastAsia="Calibri" w:hAnsi="Calibri"/>
                <w:b w:val="false"/>
                <w:bCs w:val="false"/>
                <w:color w:val="18212C"/>
                <w:sz w:val="19"/>
                <w:szCs w:val="19"/>
              </w:rPr>
              <w:t xml:space="preserve">-</w:t>
            </w:r>
          </w:p>
        </w:tc>
      </w:tr>
      <w:tr>
        <w:trPr>
          <w:cantSplit/>
        </w:trPr>
        <w:tc>
          <w:tcPr>
            <w:tcW w:type="dxa" w:w="2888"/>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Source &amp; select supplier</w:t>
            </w:r>
          </w:p>
        </w:tc>
        <w:tc>
          <w:tcPr>
            <w:tcW w:type="dxa" w:w="1534"/>
            <w:tcMar>
              <w:top w:type="dxa" w:w="60"/>
              <w:left w:type="dxa" w:w="100"/>
              <w:bottom w:type="dxa" w:w="60"/>
              <w:right w:type="dxa" w:w="100"/>
            </w:tcMar>
          </w:tcPr>
          <w:p>
            <w:pPr>
              <w:spacing w:after="40"/>
              <w:jc w:val="center"/>
            </w:pPr>
            <w:r>
              <w:rPr>
                <w:rFonts w:ascii="Calibri" w:cs="Calibri" w:eastAsia="Calibri" w:hAnsi="Calibri"/>
                <w:b w:val="false"/>
                <w:bCs w:val="false"/>
                <w:color w:val="18212C"/>
                <w:sz w:val="19"/>
                <w:szCs w:val="19"/>
              </w:rPr>
              <w:t xml:space="preserve">C</w:t>
            </w:r>
          </w:p>
        </w:tc>
        <w:tc>
          <w:tcPr>
            <w:tcW w:type="dxa" w:w="1534"/>
            <w:tcMar>
              <w:top w:type="dxa" w:w="60"/>
              <w:left w:type="dxa" w:w="100"/>
              <w:bottom w:type="dxa" w:w="60"/>
              <w:right w:type="dxa" w:w="100"/>
            </w:tcMar>
          </w:tcPr>
          <w:p>
            <w:pPr>
              <w:spacing w:after="40"/>
              <w:jc w:val="center"/>
            </w:pPr>
            <w:r>
              <w:rPr>
                <w:rFonts w:ascii="Calibri" w:cs="Calibri" w:eastAsia="Calibri" w:hAnsi="Calibri"/>
                <w:b w:val="false"/>
                <w:bCs w:val="false"/>
                <w:color w:val="18212C"/>
                <w:sz w:val="19"/>
                <w:szCs w:val="19"/>
              </w:rPr>
              <w:t xml:space="preserve">R/A</w:t>
            </w:r>
          </w:p>
        </w:tc>
        <w:tc>
          <w:tcPr>
            <w:tcW w:type="dxa" w:w="1534"/>
            <w:tcMar>
              <w:top w:type="dxa" w:w="60"/>
              <w:left w:type="dxa" w:w="100"/>
              <w:bottom w:type="dxa" w:w="60"/>
              <w:right w:type="dxa" w:w="100"/>
            </w:tcMar>
          </w:tcPr>
          <w:p>
            <w:pPr>
              <w:spacing w:after="40"/>
              <w:jc w:val="center"/>
            </w:pPr>
            <w:r>
              <w:rPr>
                <w:rFonts w:ascii="Calibri" w:cs="Calibri" w:eastAsia="Calibri" w:hAnsi="Calibri"/>
                <w:b w:val="false"/>
                <w:bCs w:val="false"/>
                <w:color w:val="18212C"/>
                <w:sz w:val="19"/>
                <w:szCs w:val="19"/>
              </w:rPr>
              <w:t xml:space="preserve">I</w:t>
            </w:r>
          </w:p>
        </w:tc>
        <w:tc>
          <w:tcPr>
            <w:tcW w:type="dxa" w:w="1536"/>
            <w:tcMar>
              <w:top w:type="dxa" w:w="60"/>
              <w:left w:type="dxa" w:w="100"/>
              <w:bottom w:type="dxa" w:w="60"/>
              <w:right w:type="dxa" w:w="100"/>
            </w:tcMar>
          </w:tcPr>
          <w:p>
            <w:pPr>
              <w:spacing w:after="40"/>
              <w:jc w:val="center"/>
            </w:pPr>
            <w:r>
              <w:rPr>
                <w:rFonts w:ascii="Calibri" w:cs="Calibri" w:eastAsia="Calibri" w:hAnsi="Calibri"/>
                <w:b w:val="false"/>
                <w:bCs w:val="false"/>
                <w:color w:val="18212C"/>
                <w:sz w:val="19"/>
                <w:szCs w:val="19"/>
              </w:rPr>
              <w:t xml:space="preserve">C</w:t>
            </w:r>
          </w:p>
        </w:tc>
      </w:tr>
      <w:tr>
        <w:trPr>
          <w:cantSplit/>
        </w:trPr>
        <w:tc>
          <w:tcPr>
            <w:tcW w:type="dxa" w:w="2888"/>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Supplier due diligence</w:t>
            </w:r>
          </w:p>
        </w:tc>
        <w:tc>
          <w:tcPr>
            <w:tcW w:type="dxa" w:w="1534"/>
            <w:tcMar>
              <w:top w:type="dxa" w:w="60"/>
              <w:left w:type="dxa" w:w="100"/>
              <w:bottom w:type="dxa" w:w="60"/>
              <w:right w:type="dxa" w:w="100"/>
            </w:tcMar>
          </w:tcPr>
          <w:p>
            <w:pPr>
              <w:spacing w:after="40"/>
              <w:jc w:val="center"/>
            </w:pPr>
            <w:r>
              <w:rPr>
                <w:rFonts w:ascii="Calibri" w:cs="Calibri" w:eastAsia="Calibri" w:hAnsi="Calibri"/>
                <w:b w:val="false"/>
                <w:bCs w:val="false"/>
                <w:color w:val="18212C"/>
                <w:sz w:val="19"/>
                <w:szCs w:val="19"/>
              </w:rPr>
              <w:t xml:space="preserve">-</w:t>
            </w:r>
          </w:p>
        </w:tc>
        <w:tc>
          <w:tcPr>
            <w:tcW w:type="dxa" w:w="1534"/>
            <w:tcMar>
              <w:top w:type="dxa" w:w="60"/>
              <w:left w:type="dxa" w:w="100"/>
              <w:bottom w:type="dxa" w:w="60"/>
              <w:right w:type="dxa" w:w="100"/>
            </w:tcMar>
          </w:tcPr>
          <w:p>
            <w:pPr>
              <w:spacing w:after="40"/>
              <w:jc w:val="center"/>
            </w:pPr>
            <w:r>
              <w:rPr>
                <w:rFonts w:ascii="Calibri" w:cs="Calibri" w:eastAsia="Calibri" w:hAnsi="Calibri"/>
                <w:b w:val="false"/>
                <w:bCs w:val="false"/>
                <w:color w:val="18212C"/>
                <w:sz w:val="19"/>
                <w:szCs w:val="19"/>
              </w:rPr>
              <w:t xml:space="preserve">R</w:t>
            </w:r>
          </w:p>
        </w:tc>
        <w:tc>
          <w:tcPr>
            <w:tcW w:type="dxa" w:w="1534"/>
            <w:tcMar>
              <w:top w:type="dxa" w:w="60"/>
              <w:left w:type="dxa" w:w="100"/>
              <w:bottom w:type="dxa" w:w="60"/>
              <w:right w:type="dxa" w:w="100"/>
            </w:tcMar>
          </w:tcPr>
          <w:p>
            <w:pPr>
              <w:spacing w:after="40"/>
              <w:jc w:val="center"/>
            </w:pPr>
            <w:r>
              <w:rPr>
                <w:rFonts w:ascii="Calibri" w:cs="Calibri" w:eastAsia="Calibri" w:hAnsi="Calibri"/>
                <w:b w:val="false"/>
                <w:bCs w:val="false"/>
                <w:color w:val="18212C"/>
                <w:sz w:val="19"/>
                <w:szCs w:val="19"/>
              </w:rPr>
              <w:t xml:space="preserve">-</w:t>
            </w:r>
          </w:p>
        </w:tc>
        <w:tc>
          <w:tcPr>
            <w:tcW w:type="dxa" w:w="1536"/>
            <w:tcMar>
              <w:top w:type="dxa" w:w="60"/>
              <w:left w:type="dxa" w:w="100"/>
              <w:bottom w:type="dxa" w:w="60"/>
              <w:right w:type="dxa" w:w="100"/>
            </w:tcMar>
          </w:tcPr>
          <w:p>
            <w:pPr>
              <w:spacing w:after="40"/>
              <w:jc w:val="center"/>
            </w:pPr>
            <w:r>
              <w:rPr>
                <w:rFonts w:ascii="Calibri" w:cs="Calibri" w:eastAsia="Calibri" w:hAnsi="Calibri"/>
                <w:b w:val="false"/>
                <w:bCs w:val="false"/>
                <w:color w:val="18212C"/>
                <w:sz w:val="19"/>
                <w:szCs w:val="19"/>
              </w:rPr>
              <w:t xml:space="preserve">A</w:t>
            </w:r>
          </w:p>
        </w:tc>
      </w:tr>
      <w:tr>
        <w:trPr>
          <w:cantSplit/>
        </w:trPr>
        <w:tc>
          <w:tcPr>
            <w:tcW w:type="dxa" w:w="2888"/>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Approve PO</w:t>
            </w:r>
          </w:p>
        </w:tc>
        <w:tc>
          <w:tcPr>
            <w:tcW w:type="dxa" w:w="1534"/>
            <w:tcMar>
              <w:top w:type="dxa" w:w="60"/>
              <w:left w:type="dxa" w:w="100"/>
              <w:bottom w:type="dxa" w:w="60"/>
              <w:right w:type="dxa" w:w="100"/>
            </w:tcMar>
          </w:tcPr>
          <w:p>
            <w:pPr>
              <w:spacing w:after="40"/>
              <w:jc w:val="center"/>
            </w:pPr>
            <w:r>
              <w:rPr>
                <w:rFonts w:ascii="Calibri" w:cs="Calibri" w:eastAsia="Calibri" w:hAnsi="Calibri"/>
                <w:b w:val="false"/>
                <w:bCs w:val="false"/>
                <w:color w:val="18212C"/>
                <w:sz w:val="19"/>
                <w:szCs w:val="19"/>
              </w:rPr>
              <w:t xml:space="preserve">I</w:t>
            </w:r>
          </w:p>
        </w:tc>
        <w:tc>
          <w:tcPr>
            <w:tcW w:type="dxa" w:w="1534"/>
            <w:tcMar>
              <w:top w:type="dxa" w:w="60"/>
              <w:left w:type="dxa" w:w="100"/>
              <w:bottom w:type="dxa" w:w="60"/>
              <w:right w:type="dxa" w:w="100"/>
            </w:tcMar>
          </w:tcPr>
          <w:p>
            <w:pPr>
              <w:spacing w:after="40"/>
              <w:jc w:val="center"/>
            </w:pPr>
            <w:r>
              <w:rPr>
                <w:rFonts w:ascii="Calibri" w:cs="Calibri" w:eastAsia="Calibri" w:hAnsi="Calibri"/>
                <w:b w:val="false"/>
                <w:bCs w:val="false"/>
                <w:color w:val="18212C"/>
                <w:sz w:val="19"/>
                <w:szCs w:val="19"/>
              </w:rPr>
              <w:t xml:space="preserve">R</w:t>
            </w:r>
          </w:p>
        </w:tc>
        <w:tc>
          <w:tcPr>
            <w:tcW w:type="dxa" w:w="1534"/>
            <w:tcMar>
              <w:top w:type="dxa" w:w="60"/>
              <w:left w:type="dxa" w:w="100"/>
              <w:bottom w:type="dxa" w:w="60"/>
              <w:right w:type="dxa" w:w="100"/>
            </w:tcMar>
          </w:tcPr>
          <w:p>
            <w:pPr>
              <w:spacing w:after="40"/>
              <w:jc w:val="center"/>
            </w:pPr>
            <w:r>
              <w:rPr>
                <w:rFonts w:ascii="Calibri" w:cs="Calibri" w:eastAsia="Calibri" w:hAnsi="Calibri"/>
                <w:b w:val="false"/>
                <w:bCs w:val="false"/>
                <w:color w:val="18212C"/>
                <w:sz w:val="19"/>
                <w:szCs w:val="19"/>
              </w:rPr>
              <w:t xml:space="preserve">A</w:t>
            </w:r>
          </w:p>
        </w:tc>
        <w:tc>
          <w:tcPr>
            <w:tcW w:type="dxa" w:w="1536"/>
            <w:tcMar>
              <w:top w:type="dxa" w:w="60"/>
              <w:left w:type="dxa" w:w="100"/>
              <w:bottom w:type="dxa" w:w="60"/>
              <w:right w:type="dxa" w:w="100"/>
            </w:tcMar>
          </w:tcPr>
          <w:p>
            <w:pPr>
              <w:spacing w:after="40"/>
              <w:jc w:val="center"/>
            </w:pPr>
            <w:r>
              <w:rPr>
                <w:rFonts w:ascii="Calibri" w:cs="Calibri" w:eastAsia="Calibri" w:hAnsi="Calibri"/>
                <w:b w:val="false"/>
                <w:bCs w:val="false"/>
                <w:color w:val="18212C"/>
                <w:sz w:val="19"/>
                <w:szCs w:val="19"/>
              </w:rPr>
              <w:t xml:space="preserve">-</w:t>
            </w:r>
          </w:p>
        </w:tc>
      </w:tr>
      <w:tr>
        <w:trPr>
          <w:cantSplit/>
        </w:trPr>
        <w:tc>
          <w:tcPr>
            <w:tcW w:type="dxa" w:w="2888"/>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Confirm goods receipt</w:t>
            </w:r>
          </w:p>
        </w:tc>
        <w:tc>
          <w:tcPr>
            <w:tcW w:type="dxa" w:w="1534"/>
            <w:tcMar>
              <w:top w:type="dxa" w:w="60"/>
              <w:left w:type="dxa" w:w="100"/>
              <w:bottom w:type="dxa" w:w="60"/>
              <w:right w:type="dxa" w:w="100"/>
            </w:tcMar>
          </w:tcPr>
          <w:p>
            <w:pPr>
              <w:spacing w:after="40"/>
              <w:jc w:val="center"/>
            </w:pPr>
            <w:r>
              <w:rPr>
                <w:rFonts w:ascii="Calibri" w:cs="Calibri" w:eastAsia="Calibri" w:hAnsi="Calibri"/>
                <w:b w:val="false"/>
                <w:bCs w:val="false"/>
                <w:color w:val="18212C"/>
                <w:sz w:val="19"/>
                <w:szCs w:val="19"/>
              </w:rPr>
              <w:t xml:space="preserve">R/A</w:t>
            </w:r>
          </w:p>
        </w:tc>
        <w:tc>
          <w:tcPr>
            <w:tcW w:type="dxa" w:w="1534"/>
            <w:tcMar>
              <w:top w:type="dxa" w:w="60"/>
              <w:left w:type="dxa" w:w="100"/>
              <w:bottom w:type="dxa" w:w="60"/>
              <w:right w:type="dxa" w:w="100"/>
            </w:tcMar>
          </w:tcPr>
          <w:p>
            <w:pPr>
              <w:spacing w:after="40"/>
              <w:jc w:val="center"/>
            </w:pPr>
            <w:r>
              <w:rPr>
                <w:rFonts w:ascii="Calibri" w:cs="Calibri" w:eastAsia="Calibri" w:hAnsi="Calibri"/>
                <w:b w:val="false"/>
                <w:bCs w:val="false"/>
                <w:color w:val="18212C"/>
                <w:sz w:val="19"/>
                <w:szCs w:val="19"/>
              </w:rPr>
              <w:t xml:space="preserve">I</w:t>
            </w:r>
          </w:p>
        </w:tc>
        <w:tc>
          <w:tcPr>
            <w:tcW w:type="dxa" w:w="1534"/>
            <w:tcMar>
              <w:top w:type="dxa" w:w="60"/>
              <w:left w:type="dxa" w:w="100"/>
              <w:bottom w:type="dxa" w:w="60"/>
              <w:right w:type="dxa" w:w="100"/>
            </w:tcMar>
          </w:tcPr>
          <w:p>
            <w:pPr>
              <w:spacing w:after="40"/>
              <w:jc w:val="center"/>
            </w:pPr>
            <w:r>
              <w:rPr>
                <w:rFonts w:ascii="Calibri" w:cs="Calibri" w:eastAsia="Calibri" w:hAnsi="Calibri"/>
                <w:b w:val="false"/>
                <w:bCs w:val="false"/>
                <w:color w:val="18212C"/>
                <w:sz w:val="19"/>
                <w:szCs w:val="19"/>
              </w:rPr>
              <w:t xml:space="preserve">I</w:t>
            </w:r>
          </w:p>
        </w:tc>
        <w:tc>
          <w:tcPr>
            <w:tcW w:type="dxa" w:w="1536"/>
            <w:tcMar>
              <w:top w:type="dxa" w:w="60"/>
              <w:left w:type="dxa" w:w="100"/>
              <w:bottom w:type="dxa" w:w="60"/>
              <w:right w:type="dxa" w:w="100"/>
            </w:tcMar>
          </w:tcPr>
          <w:p>
            <w:pPr>
              <w:spacing w:after="40"/>
              <w:jc w:val="center"/>
            </w:pPr>
            <w:r>
              <w:rPr>
                <w:rFonts w:ascii="Calibri" w:cs="Calibri" w:eastAsia="Calibri" w:hAnsi="Calibri"/>
                <w:b w:val="false"/>
                <w:bCs w:val="false"/>
                <w:color w:val="18212C"/>
                <w:sz w:val="19"/>
                <w:szCs w:val="19"/>
              </w:rPr>
              <w:t xml:space="preserve">-</w:t>
            </w:r>
          </w:p>
        </w:tc>
      </w:tr>
      <w:tr>
        <w:trPr>
          <w:cantSplit/>
        </w:trPr>
        <w:tc>
          <w:tcPr>
            <w:tcW w:type="dxa" w:w="2888"/>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Match &amp; pay invoice</w:t>
            </w:r>
          </w:p>
        </w:tc>
        <w:tc>
          <w:tcPr>
            <w:tcW w:type="dxa" w:w="1534"/>
            <w:tcMar>
              <w:top w:type="dxa" w:w="60"/>
              <w:left w:type="dxa" w:w="100"/>
              <w:bottom w:type="dxa" w:w="60"/>
              <w:right w:type="dxa" w:w="100"/>
            </w:tcMar>
          </w:tcPr>
          <w:p>
            <w:pPr>
              <w:spacing w:after="40"/>
              <w:jc w:val="center"/>
            </w:pPr>
            <w:r>
              <w:rPr>
                <w:rFonts w:ascii="Calibri" w:cs="Calibri" w:eastAsia="Calibri" w:hAnsi="Calibri"/>
                <w:b w:val="false"/>
                <w:bCs w:val="false"/>
                <w:color w:val="18212C"/>
                <w:sz w:val="19"/>
                <w:szCs w:val="19"/>
              </w:rPr>
              <w:t xml:space="preserve">-</w:t>
            </w:r>
          </w:p>
        </w:tc>
        <w:tc>
          <w:tcPr>
            <w:tcW w:type="dxa" w:w="1534"/>
            <w:tcMar>
              <w:top w:type="dxa" w:w="60"/>
              <w:left w:type="dxa" w:w="100"/>
              <w:bottom w:type="dxa" w:w="60"/>
              <w:right w:type="dxa" w:w="100"/>
            </w:tcMar>
          </w:tcPr>
          <w:p>
            <w:pPr>
              <w:spacing w:after="40"/>
              <w:jc w:val="center"/>
            </w:pPr>
            <w:r>
              <w:rPr>
                <w:rFonts w:ascii="Calibri" w:cs="Calibri" w:eastAsia="Calibri" w:hAnsi="Calibri"/>
                <w:b w:val="false"/>
                <w:bCs w:val="false"/>
                <w:color w:val="18212C"/>
                <w:sz w:val="19"/>
                <w:szCs w:val="19"/>
              </w:rPr>
              <w:t xml:space="preserve">C</w:t>
            </w:r>
          </w:p>
        </w:tc>
        <w:tc>
          <w:tcPr>
            <w:tcW w:type="dxa" w:w="1534"/>
            <w:tcMar>
              <w:top w:type="dxa" w:w="60"/>
              <w:left w:type="dxa" w:w="100"/>
              <w:bottom w:type="dxa" w:w="60"/>
              <w:right w:type="dxa" w:w="100"/>
            </w:tcMar>
          </w:tcPr>
          <w:p>
            <w:pPr>
              <w:spacing w:after="40"/>
              <w:jc w:val="center"/>
            </w:pPr>
            <w:r>
              <w:rPr>
                <w:rFonts w:ascii="Calibri" w:cs="Calibri" w:eastAsia="Calibri" w:hAnsi="Calibri"/>
                <w:b w:val="false"/>
                <w:bCs w:val="false"/>
                <w:color w:val="18212C"/>
                <w:sz w:val="19"/>
                <w:szCs w:val="19"/>
              </w:rPr>
              <w:t xml:space="preserve">R/A</w:t>
            </w:r>
          </w:p>
        </w:tc>
        <w:tc>
          <w:tcPr>
            <w:tcW w:type="dxa" w:w="1536"/>
            <w:tcMar>
              <w:top w:type="dxa" w:w="60"/>
              <w:left w:type="dxa" w:w="100"/>
              <w:bottom w:type="dxa" w:w="60"/>
              <w:right w:type="dxa" w:w="100"/>
            </w:tcMar>
          </w:tcPr>
          <w:p>
            <w:pPr>
              <w:spacing w:after="40"/>
              <w:jc w:val="center"/>
            </w:pPr>
            <w:r>
              <w:rPr>
                <w:rFonts w:ascii="Calibri" w:cs="Calibri" w:eastAsia="Calibri" w:hAnsi="Calibri"/>
                <w:b w:val="false"/>
                <w:bCs w:val="false"/>
                <w:color w:val="18212C"/>
                <w:sz w:val="19"/>
                <w:szCs w:val="19"/>
              </w:rPr>
              <w:t xml:space="preserve">-</w:t>
            </w:r>
          </w:p>
        </w:tc>
      </w:tr>
    </w:tbl>
    <w:p>
      <w:pPr>
        <w:spacing w:after="120" w:line="276"/>
        <w:rPr>
          <w:color w:val="5B6878"/>
          <w:sz w:val="20"/>
          <w:szCs w:val="20"/>
        </w:rPr>
      </w:pPr>
      <w:r>
        <w:rPr>
          <w:rFonts w:ascii="Calibri" w:cs="Calibri" w:eastAsia="Calibri" w:hAnsi="Calibri"/>
          <w:color w:val="5B6878"/>
          <w:sz w:val="20"/>
          <w:szCs w:val="20"/>
        </w:rPr>
        <w:t xml:space="preserve">R = Responsible, A = Accountable, C = Consulted, I = Informed.</w:t>
      </w:r>
    </w:p>
    <w:p>
      <w:pPr>
        <w:sectPr>
          <w:footerReference w:type="default" r:id="rId7"/>
          <w:pgSz w:w="11906" w:h="16838" w:orient="portrait"/>
          <w:pgMar w:top="1440" w:right="1440" w:bottom="1440" w:left="1440" w:header="708" w:footer="708" w:gutter="0"/>
          <w:pgNumType/>
          <w:docGrid w:linePitch="360"/>
        </w:sectPr>
      </w:pPr>
    </w:p>
    <w:p>
      <w:pPr>
        <w:pStyle w:val="Heading1"/>
        <w:spacing w:after="160" w:before="360"/>
      </w:pPr>
      <w:r>
        <w:t xml:space="preserve">5. Current process (as-is)</w:t>
      </w:r>
    </w:p>
    <w:p>
      <w:pPr>
        <w:spacing w:after="120" w:line="276"/>
      </w:pPr>
      <w:r>
        <w:rPr>
          <w:rFonts w:ascii="Calibri" w:cs="Calibri" w:eastAsia="Calibri" w:hAnsi="Calibri"/>
          <w:color w:val="18212C"/>
          <w:sz w:val="22"/>
          <w:szCs w:val="22"/>
        </w:rPr>
        <w:t xml:space="preserve">The current process is mapped in BPMN 2.0 (process/as_is.bpmn). Tasks shown in red are the four pain points.</w:t>
      </w:r>
    </w:p>
    <w:p>
      <w:pPr>
        <w:spacing w:after="120"/>
        <w:jc w:val="center"/>
      </w:pPr>
      <w:r>
        <w:drawing>
          <wp:inline distT="0" distB="0" distL="0" distR="0">
            <wp:extent cx="8191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191500" cy="2962275"/>
                    </a:xfrm>
                    <a:prstGeom prst="rect">
                      <a:avLst/>
                    </a:prstGeom>
                  </pic:spPr>
                </pic:pic>
              </a:graphicData>
            </a:graphic>
          </wp:inline>
        </w:drawing>
      </w:r>
    </w:p>
    <w:p>
      <w:r>
        <w:br w:type="page"/>
      </w:r>
    </w:p>
    <w:p>
      <w:pPr>
        <w:pStyle w:val="Heading1"/>
        <w:spacing w:after="160" w:before="360"/>
      </w:pPr>
      <w:r>
        <w:t xml:space="preserve">6. Future process (to-be)</w:t>
      </w:r>
    </w:p>
    <w:p>
      <w:pPr>
        <w:spacing w:after="120" w:line="276"/>
      </w:pPr>
      <w:r>
        <w:rPr>
          <w:rFonts w:ascii="Calibri" w:cs="Calibri" w:eastAsia="Calibri" w:hAnsi="Calibri"/>
          <w:color w:val="18212C"/>
          <w:sz w:val="22"/>
          <w:szCs w:val="22"/>
        </w:rPr>
        <w:t xml:space="preserve">The future process (process/to_be.bpmn) moves validation, routing, supplier checks and matching into the system, so people only handle decisions and exceptions.</w:t>
      </w:r>
    </w:p>
    <w:p>
      <w:pPr>
        <w:spacing w:after="120"/>
        <w:jc w:val="center"/>
      </w:pPr>
      <w:r>
        <w:drawing>
          <wp:inline distT="0" distB="0" distL="0" distR="0">
            <wp:extent cx="8191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91500" cy="3324225"/>
                    </a:xfrm>
                    <a:prstGeom prst="rect">
                      <a:avLst/>
                    </a:prstGeom>
                  </pic:spPr>
                </pic:pic>
              </a:graphicData>
            </a:graphic>
          </wp:inline>
        </w:drawing>
      </w:r>
    </w:p>
    <w:p>
      <w:pPr>
        <w:sectPr>
          <w:footerReference w:type="default" r:id="rId8"/>
          <w:pgSz w:w="16838" w:h="11906" w:orient="landscape"/>
          <w:pgMar w:top="1080" w:right="1080" w:bottom="1080" w:left="1080" w:header="708" w:footer="708" w:gutter="0"/>
          <w:pgNumType/>
          <w:docGrid w:linePitch="360"/>
        </w:sectPr>
      </w:pPr>
    </w:p>
    <w:p>
      <w:pPr>
        <w:pStyle w:val="Heading2"/>
        <w:spacing w:after="120" w:before="240"/>
      </w:pPr>
      <w:r>
        <w:t xml:space="preserve">6.1 What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2527"/>
        <w:gridCol w:w="3610"/>
        <w:gridCol w:w="1625"/>
      </w:tblGrid>
      <w:tr>
        <w:trPr>
          <w:tblHeader/>
        </w:trPr>
        <w:tc>
          <w:tcPr>
            <w:tcW w:type="dxa" w:w="1264"/>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Step</w:t>
            </w:r>
          </w:p>
        </w:tc>
        <w:tc>
          <w:tcPr>
            <w:tcW w:type="dxa" w:w="2527"/>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As-is</w:t>
            </w:r>
          </w:p>
        </w:tc>
        <w:tc>
          <w:tcPr>
            <w:tcW w:type="dxa" w:w="3610"/>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To-be</w:t>
            </w:r>
          </w:p>
        </w:tc>
        <w:tc>
          <w:tcPr>
            <w:tcW w:type="dxa" w:w="1625"/>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Pain point addressed</w:t>
            </w:r>
          </w:p>
        </w:tc>
      </w:tr>
      <w:tr>
        <w:trPr>
          <w:cantSplit/>
        </w:trPr>
        <w:tc>
          <w:tcPr>
            <w:tcW w:type="dxa" w:w="12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Request</w:t>
            </w:r>
          </w:p>
        </w:tc>
        <w:tc>
          <w:tcPr>
            <w:tcW w:type="dxa" w:w="252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Free-text email</w:t>
            </w:r>
          </w:p>
        </w:tc>
        <w:tc>
          <w:tcPr>
            <w:tcW w:type="dxa" w:w="3610"/>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Guided form; mandatory fields; valid budget codes only</w:t>
            </w:r>
          </w:p>
        </w:tc>
        <w:tc>
          <w:tcPr>
            <w:tcW w:type="dxa" w:w="1625"/>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P-01</w:t>
            </w:r>
          </w:p>
        </w:tc>
      </w:tr>
      <w:tr>
        <w:trPr>
          <w:cantSplit/>
        </w:trPr>
        <w:tc>
          <w:tcPr>
            <w:tcW w:type="dxa" w:w="12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Approval</w:t>
            </w:r>
          </w:p>
        </w:tc>
        <w:tc>
          <w:tcPr>
            <w:tcW w:type="dxa" w:w="252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Procurement works out the approver and emails them</w:t>
            </w:r>
          </w:p>
        </w:tc>
        <w:tc>
          <w:tcPr>
            <w:tcW w:type="dxa" w:w="3610"/>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Rule-based routing from the approval matrix; escalation after 2 days</w:t>
            </w:r>
          </w:p>
        </w:tc>
        <w:tc>
          <w:tcPr>
            <w:tcW w:type="dxa" w:w="1625"/>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P-02</w:t>
            </w:r>
          </w:p>
        </w:tc>
      </w:tr>
      <w:tr>
        <w:trPr>
          <w:cantSplit/>
        </w:trPr>
        <w:tc>
          <w:tcPr>
            <w:tcW w:type="dxa" w:w="12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Supplier</w:t>
            </w:r>
          </w:p>
        </w:tc>
        <w:tc>
          <w:tcPr>
            <w:tcW w:type="dxa" w:w="252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Documents collected ad hoc</w:t>
            </w:r>
          </w:p>
        </w:tc>
        <w:tc>
          <w:tcPr>
            <w:tcW w:type="dxa" w:w="3610"/>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Standard checklist; PO blocked unless supplier is Verified</w:t>
            </w:r>
          </w:p>
        </w:tc>
        <w:tc>
          <w:tcPr>
            <w:tcW w:type="dxa" w:w="1625"/>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P-03</w:t>
            </w:r>
          </w:p>
        </w:tc>
      </w:tr>
      <w:tr>
        <w:trPr>
          <w:cantSplit/>
        </w:trPr>
        <w:tc>
          <w:tcPr>
            <w:tcW w:type="dxa" w:w="12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Invoice</w:t>
            </w:r>
          </w:p>
        </w:tc>
        <w:tc>
          <w:tcPr>
            <w:tcW w:type="dxa" w:w="252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PO, receipt and invoice compared by hand</w:t>
            </w:r>
          </w:p>
        </w:tc>
        <w:tc>
          <w:tcPr>
            <w:tcW w:type="dxa" w:w="3610"/>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Automatic three-way match; only exceptions reach AP</w:t>
            </w:r>
          </w:p>
        </w:tc>
        <w:tc>
          <w:tcPr>
            <w:tcW w:type="dxa" w:w="1625"/>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P-04</w:t>
            </w:r>
          </w:p>
        </w:tc>
      </w:tr>
    </w:tbl>
    <w:p>
      <w:pPr>
        <w:pStyle w:val="Heading1"/>
        <w:spacing w:after="160" w:before="360"/>
      </w:pPr>
      <w:r>
        <w:t xml:space="preserve">7. Requirements</w:t>
      </w:r>
    </w:p>
    <w:p>
      <w:pPr>
        <w:spacing w:after="120" w:line="276"/>
      </w:pPr>
      <w:r>
        <w:rPr>
          <w:rFonts w:ascii="Calibri" w:cs="Calibri" w:eastAsia="Calibri" w:hAnsi="Calibri"/>
          <w:color w:val="18212C"/>
          <w:sz w:val="22"/>
          <w:szCs w:val="22"/>
        </w:rPr>
        <w:t xml:space="preserve">Priorities use MoSCoW (Must, Should, Could, Won't this time). Each requirement traces to a pain point and to the user stories in backlog/user_stories.csv.</w:t>
      </w:r>
    </w:p>
    <w:p>
      <w:pPr>
        <w:pStyle w:val="Heading2"/>
        <w:spacing w:after="120" w:before="240"/>
      </w:pPr>
      <w:r>
        <w:t xml:space="preserve">7.1 Business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4964"/>
        <w:gridCol w:w="903"/>
        <w:gridCol w:w="1083"/>
        <w:gridCol w:w="1264"/>
      </w:tblGrid>
      <w:tr>
        <w:trPr>
          <w:tblHeader/>
        </w:trPr>
        <w:tc>
          <w:tcPr>
            <w:tcW w:type="dxa" w:w="812"/>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ID</w:t>
            </w:r>
          </w:p>
        </w:tc>
        <w:tc>
          <w:tcPr>
            <w:tcW w:type="dxa" w:w="4964"/>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Requirement</w:t>
            </w:r>
          </w:p>
        </w:tc>
        <w:tc>
          <w:tcPr>
            <w:tcW w:type="dxa" w:w="903"/>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Priority</w:t>
            </w:r>
          </w:p>
        </w:tc>
        <w:tc>
          <w:tcPr>
            <w:tcW w:type="dxa" w:w="1083"/>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Pain point</w:t>
            </w:r>
          </w:p>
        </w:tc>
        <w:tc>
          <w:tcPr>
            <w:tcW w:type="dxa" w:w="1264"/>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Stories</w:t>
            </w:r>
          </w:p>
        </w:tc>
      </w:tr>
      <w:tr>
        <w:trPr>
          <w:cantSplit/>
        </w:trPr>
        <w:tc>
          <w:tcPr>
            <w:tcW w:type="dxa" w:w="81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BR-01</w:t>
            </w:r>
          </w:p>
        </w:tc>
        <w:tc>
          <w:tcPr>
            <w:tcW w:type="dxa" w:w="49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Every purchase must be traceable from request to payment, including who approved it and when.</w:t>
            </w:r>
          </w:p>
        </w:tc>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Must</w:t>
            </w:r>
          </w:p>
        </w:tc>
        <w:tc>
          <w:tcPr>
            <w:tcW w:type="dxa" w:w="108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P-02, P-03</w:t>
            </w:r>
          </w:p>
        </w:tc>
        <w:tc>
          <w:tcPr>
            <w:tcW w:type="dxa" w:w="12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US-02, US-07</w:t>
            </w:r>
          </w:p>
        </w:tc>
      </w:tr>
      <w:tr>
        <w:trPr>
          <w:cantSplit/>
        </w:trPr>
        <w:tc>
          <w:tcPr>
            <w:tcW w:type="dxa" w:w="81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BR-02</w:t>
            </w:r>
          </w:p>
        </w:tc>
        <w:tc>
          <w:tcPr>
            <w:tcW w:type="dxa" w:w="49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No purchase order may be issued to a supplier whose due diligence is not verified.</w:t>
            </w:r>
          </w:p>
        </w:tc>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Must</w:t>
            </w:r>
          </w:p>
        </w:tc>
        <w:tc>
          <w:tcPr>
            <w:tcW w:type="dxa" w:w="108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P-03</w:t>
            </w:r>
          </w:p>
        </w:tc>
        <w:tc>
          <w:tcPr>
            <w:tcW w:type="dxa" w:w="12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US-03, US-05</w:t>
            </w:r>
          </w:p>
        </w:tc>
      </w:tr>
      <w:tr>
        <w:trPr>
          <w:cantSplit/>
        </w:trPr>
        <w:tc>
          <w:tcPr>
            <w:tcW w:type="dxa" w:w="81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BR-03</w:t>
            </w:r>
          </w:p>
        </w:tc>
        <w:tc>
          <w:tcPr>
            <w:tcW w:type="dxa" w:w="49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Invoices that match the PO and goods receipt within tolerance are paid without manual checking.</w:t>
            </w:r>
          </w:p>
        </w:tc>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Must</w:t>
            </w:r>
          </w:p>
        </w:tc>
        <w:tc>
          <w:tcPr>
            <w:tcW w:type="dxa" w:w="108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P-04</w:t>
            </w:r>
          </w:p>
        </w:tc>
        <w:tc>
          <w:tcPr>
            <w:tcW w:type="dxa" w:w="12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US-04</w:t>
            </w:r>
          </w:p>
        </w:tc>
      </w:tr>
    </w:tbl>
    <w:p>
      <w:pPr>
        <w:pStyle w:val="Heading2"/>
        <w:spacing w:after="120" w:before="240"/>
      </w:pPr>
      <w:r>
        <w:t xml:space="preserve">7.2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4964"/>
        <w:gridCol w:w="903"/>
        <w:gridCol w:w="1083"/>
        <w:gridCol w:w="1264"/>
      </w:tblGrid>
      <w:tr>
        <w:trPr>
          <w:tblHeader/>
        </w:trPr>
        <w:tc>
          <w:tcPr>
            <w:tcW w:type="dxa" w:w="812"/>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ID</w:t>
            </w:r>
          </w:p>
        </w:tc>
        <w:tc>
          <w:tcPr>
            <w:tcW w:type="dxa" w:w="4964"/>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Requirement</w:t>
            </w:r>
          </w:p>
        </w:tc>
        <w:tc>
          <w:tcPr>
            <w:tcW w:type="dxa" w:w="903"/>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Priority</w:t>
            </w:r>
          </w:p>
        </w:tc>
        <w:tc>
          <w:tcPr>
            <w:tcW w:type="dxa" w:w="1083"/>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Pain point</w:t>
            </w:r>
          </w:p>
        </w:tc>
        <w:tc>
          <w:tcPr>
            <w:tcW w:type="dxa" w:w="1264"/>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Stories</w:t>
            </w:r>
          </w:p>
        </w:tc>
      </w:tr>
      <w:tr>
        <w:trPr>
          <w:cantSplit/>
        </w:trPr>
        <w:tc>
          <w:tcPr>
            <w:tcW w:type="dxa" w:w="81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FR-01</w:t>
            </w:r>
          </w:p>
        </w:tc>
        <w:tc>
          <w:tcPr>
            <w:tcW w:type="dxa" w:w="49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The requisition form enforces mandatory fields (item description, quantity, estimated value, cost centre, budget code, need-by date, spend category) and blocks submission until they are complete.</w:t>
            </w:r>
          </w:p>
        </w:tc>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Must</w:t>
            </w:r>
          </w:p>
        </w:tc>
        <w:tc>
          <w:tcPr>
            <w:tcW w:type="dxa" w:w="108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P-01</w:t>
            </w:r>
          </w:p>
        </w:tc>
        <w:tc>
          <w:tcPr>
            <w:tcW w:type="dxa" w:w="12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US-01</w:t>
            </w:r>
          </w:p>
        </w:tc>
      </w:tr>
      <w:tr>
        <w:trPr>
          <w:cantSplit/>
        </w:trPr>
        <w:tc>
          <w:tcPr>
            <w:tcW w:type="dxa" w:w="81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FR-02</w:t>
            </w:r>
          </w:p>
        </w:tc>
        <w:tc>
          <w:tcPr>
            <w:tcW w:type="dxa" w:w="49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After a cost centre is selected, only budget codes valid for that cost centre are offered.</w:t>
            </w:r>
          </w:p>
        </w:tc>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Must</w:t>
            </w:r>
          </w:p>
        </w:tc>
        <w:tc>
          <w:tcPr>
            <w:tcW w:type="dxa" w:w="108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P-01</w:t>
            </w:r>
          </w:p>
        </w:tc>
        <w:tc>
          <w:tcPr>
            <w:tcW w:type="dxa" w:w="12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US-01</w:t>
            </w:r>
          </w:p>
        </w:tc>
      </w:tr>
      <w:tr>
        <w:trPr>
          <w:cantSplit/>
        </w:trPr>
        <w:tc>
          <w:tcPr>
            <w:tcW w:type="dxa" w:w="81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FR-03</w:t>
            </w:r>
          </w:p>
        </w:tc>
        <w:tc>
          <w:tcPr>
            <w:tcW w:type="dxa" w:w="49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The system routes each requisition to approvers using the approval matrix (value threshold and spend category).</w:t>
            </w:r>
          </w:p>
        </w:tc>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Must</w:t>
            </w:r>
          </w:p>
        </w:tc>
        <w:tc>
          <w:tcPr>
            <w:tcW w:type="dxa" w:w="108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P-02</w:t>
            </w:r>
          </w:p>
        </w:tc>
        <w:tc>
          <w:tcPr>
            <w:tcW w:type="dxa" w:w="12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US-02</w:t>
            </w:r>
          </w:p>
        </w:tc>
      </w:tr>
      <w:tr>
        <w:trPr>
          <w:cantSplit/>
        </w:trPr>
        <w:tc>
          <w:tcPr>
            <w:tcW w:type="dxa" w:w="81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FR-04</w:t>
            </w:r>
          </w:p>
        </w:tc>
        <w:tc>
          <w:tcPr>
            <w:tcW w:type="dxa" w:w="49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Approvers see remaining budget for the cost centre alongside the request value.</w:t>
            </w:r>
          </w:p>
        </w:tc>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Should</w:t>
            </w:r>
          </w:p>
        </w:tc>
        <w:tc>
          <w:tcPr>
            <w:tcW w:type="dxa" w:w="108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P-02</w:t>
            </w:r>
          </w:p>
        </w:tc>
        <w:tc>
          <w:tcPr>
            <w:tcW w:type="dxa" w:w="12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US-06</w:t>
            </w:r>
          </w:p>
        </w:tc>
      </w:tr>
      <w:tr>
        <w:trPr>
          <w:cantSplit/>
        </w:trPr>
        <w:tc>
          <w:tcPr>
            <w:tcW w:type="dxa" w:w="81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FR-05</w:t>
            </w:r>
          </w:p>
        </w:tc>
        <w:tc>
          <w:tcPr>
            <w:tcW w:type="dxa" w:w="49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Approval requests not actioned within 2 working days are escalated to the approver's delegate.</w:t>
            </w:r>
          </w:p>
        </w:tc>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Should</w:t>
            </w:r>
          </w:p>
        </w:tc>
        <w:tc>
          <w:tcPr>
            <w:tcW w:type="dxa" w:w="108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P-02</w:t>
            </w:r>
          </w:p>
        </w:tc>
        <w:tc>
          <w:tcPr>
            <w:tcW w:type="dxa" w:w="12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US-08</w:t>
            </w:r>
          </w:p>
        </w:tc>
      </w:tr>
      <w:tr>
        <w:trPr>
          <w:cantSplit/>
        </w:trPr>
        <w:tc>
          <w:tcPr>
            <w:tcW w:type="dxa" w:w="81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FR-06</w:t>
            </w:r>
          </w:p>
        </w:tc>
        <w:tc>
          <w:tcPr>
            <w:tcW w:type="dxa" w:w="49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Supplier status (Pending, Verified, Expired, Blocked) is held on the supplier record; a PO cannot be issued unless status is Verified.</w:t>
            </w:r>
          </w:p>
        </w:tc>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Must</w:t>
            </w:r>
          </w:p>
        </w:tc>
        <w:tc>
          <w:tcPr>
            <w:tcW w:type="dxa" w:w="108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P-03</w:t>
            </w:r>
          </w:p>
        </w:tc>
        <w:tc>
          <w:tcPr>
            <w:tcW w:type="dxa" w:w="12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US-03</w:t>
            </w:r>
          </w:p>
        </w:tc>
      </w:tr>
      <w:tr>
        <w:trPr>
          <w:cantSplit/>
        </w:trPr>
        <w:tc>
          <w:tcPr>
            <w:tcW w:type="dxa" w:w="81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FR-07</w:t>
            </w:r>
          </w:p>
        </w:tc>
        <w:tc>
          <w:tcPr>
            <w:tcW w:type="dxa" w:w="49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Supplier onboarding uses a standard document checklist; compliance is notified 30 days before any document expires.</w:t>
            </w:r>
          </w:p>
        </w:tc>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Should</w:t>
            </w:r>
          </w:p>
        </w:tc>
        <w:tc>
          <w:tcPr>
            <w:tcW w:type="dxa" w:w="108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P-03</w:t>
            </w:r>
          </w:p>
        </w:tc>
        <w:tc>
          <w:tcPr>
            <w:tcW w:type="dxa" w:w="12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US-05</w:t>
            </w:r>
          </w:p>
        </w:tc>
      </w:tr>
      <w:tr>
        <w:trPr>
          <w:cantSplit/>
        </w:trPr>
        <w:tc>
          <w:tcPr>
            <w:tcW w:type="dxa" w:w="81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FR-08</w:t>
            </w:r>
          </w:p>
        </w:tc>
        <w:tc>
          <w:tcPr>
            <w:tcW w:type="dxa" w:w="49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Requesters confirm goods or service receipt in the system against the PO.</w:t>
            </w:r>
          </w:p>
        </w:tc>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Must</w:t>
            </w:r>
          </w:p>
        </w:tc>
        <w:tc>
          <w:tcPr>
            <w:tcW w:type="dxa" w:w="108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P-04</w:t>
            </w:r>
          </w:p>
        </w:tc>
        <w:tc>
          <w:tcPr>
            <w:tcW w:type="dxa" w:w="12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US-09</w:t>
            </w:r>
          </w:p>
        </w:tc>
      </w:tr>
      <w:tr>
        <w:trPr>
          <w:cantSplit/>
        </w:trPr>
        <w:tc>
          <w:tcPr>
            <w:tcW w:type="dxa" w:w="81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FR-09</w:t>
            </w:r>
          </w:p>
        </w:tc>
        <w:tc>
          <w:tcPr>
            <w:tcW w:type="dxa" w:w="49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The system matches invoice, PO and goods receipt on quantity and price; matches within tolerance are marked ready for payment, mismatches go to an exception queue with the reason.</w:t>
            </w:r>
          </w:p>
        </w:tc>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Must</w:t>
            </w:r>
          </w:p>
        </w:tc>
        <w:tc>
          <w:tcPr>
            <w:tcW w:type="dxa" w:w="108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P-04</w:t>
            </w:r>
          </w:p>
        </w:tc>
        <w:tc>
          <w:tcPr>
            <w:tcW w:type="dxa" w:w="12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US-04</w:t>
            </w:r>
          </w:p>
        </w:tc>
      </w:tr>
      <w:tr>
        <w:trPr>
          <w:cantSplit/>
        </w:trPr>
        <w:tc>
          <w:tcPr>
            <w:tcW w:type="dxa" w:w="81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FR-10</w:t>
            </w:r>
          </w:p>
        </w:tc>
        <w:tc>
          <w:tcPr>
            <w:tcW w:type="dxa" w:w="49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Requesters can see the status of their requisition at each stage.</w:t>
            </w:r>
          </w:p>
        </w:tc>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Could</w:t>
            </w:r>
          </w:p>
        </w:tc>
        <w:tc>
          <w:tcPr>
            <w:tcW w:type="dxa" w:w="108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P-01</w:t>
            </w:r>
          </w:p>
        </w:tc>
        <w:tc>
          <w:tcPr>
            <w:tcW w:type="dxa" w:w="12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US-10</w:t>
            </w:r>
          </w:p>
        </w:tc>
      </w:tr>
      <w:tr>
        <w:trPr>
          <w:cantSplit/>
        </w:trPr>
        <w:tc>
          <w:tcPr>
            <w:tcW w:type="dxa" w:w="81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FR-11</w:t>
            </w:r>
          </w:p>
        </w:tc>
        <w:tc>
          <w:tcPr>
            <w:tcW w:type="dxa" w:w="49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A monthly report shows cycle time, first-time-complete rate, match rate and spend with unverified suppliers.</w:t>
            </w:r>
          </w:p>
        </w:tc>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Should</w:t>
            </w:r>
          </w:p>
        </w:tc>
        <w:tc>
          <w:tcPr>
            <w:tcW w:type="dxa" w:w="108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All</w:t>
            </w:r>
          </w:p>
        </w:tc>
        <w:tc>
          <w:tcPr>
            <w:tcW w:type="dxa" w:w="12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US-11</w:t>
            </w:r>
          </w:p>
        </w:tc>
      </w:tr>
    </w:tbl>
    <w:p>
      <w:pPr>
        <w:pStyle w:val="Heading2"/>
        <w:spacing w:after="120" w:before="240"/>
      </w:pPr>
      <w:r>
        <w:t xml:space="preserve">7.3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4964"/>
        <w:gridCol w:w="903"/>
        <w:gridCol w:w="1083"/>
        <w:gridCol w:w="1264"/>
      </w:tblGrid>
      <w:tr>
        <w:trPr>
          <w:tblHeader/>
        </w:trPr>
        <w:tc>
          <w:tcPr>
            <w:tcW w:type="dxa" w:w="812"/>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ID</w:t>
            </w:r>
          </w:p>
        </w:tc>
        <w:tc>
          <w:tcPr>
            <w:tcW w:type="dxa" w:w="4964"/>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Requirement</w:t>
            </w:r>
          </w:p>
        </w:tc>
        <w:tc>
          <w:tcPr>
            <w:tcW w:type="dxa" w:w="903"/>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Priority</w:t>
            </w:r>
          </w:p>
        </w:tc>
        <w:tc>
          <w:tcPr>
            <w:tcW w:type="dxa" w:w="1083"/>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Pain point</w:t>
            </w:r>
          </w:p>
        </w:tc>
        <w:tc>
          <w:tcPr>
            <w:tcW w:type="dxa" w:w="1264"/>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Stories</w:t>
            </w:r>
          </w:p>
        </w:tc>
      </w:tr>
      <w:tr>
        <w:trPr>
          <w:cantSplit/>
        </w:trPr>
        <w:tc>
          <w:tcPr>
            <w:tcW w:type="dxa" w:w="81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NFR-01</w:t>
            </w:r>
          </w:p>
        </w:tc>
        <w:tc>
          <w:tcPr>
            <w:tcW w:type="dxa" w:w="49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Every create, approve, reject, change and payment action is logged with user, timestamp and before/after values; the log cannot be edited.</w:t>
            </w:r>
          </w:p>
        </w:tc>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Must</w:t>
            </w:r>
          </w:p>
        </w:tc>
        <w:tc>
          <w:tcPr>
            <w:tcW w:type="dxa" w:w="108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P-02</w:t>
            </w:r>
          </w:p>
        </w:tc>
        <w:tc>
          <w:tcPr>
            <w:tcW w:type="dxa" w:w="12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US-07</w:t>
            </w:r>
          </w:p>
        </w:tc>
      </w:tr>
      <w:tr>
        <w:trPr>
          <w:cantSplit/>
        </w:trPr>
        <w:tc>
          <w:tcPr>
            <w:tcW w:type="dxa" w:w="81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NFR-02</w:t>
            </w:r>
          </w:p>
        </w:tc>
        <w:tc>
          <w:tcPr>
            <w:tcW w:type="dxa" w:w="49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Role-based access; segregation of duties so the same person cannot raise and approve a requisition, or create a supplier and approve a payment to it.</w:t>
            </w:r>
          </w:p>
        </w:tc>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Must</w:t>
            </w:r>
          </w:p>
        </w:tc>
        <w:tc>
          <w:tcPr>
            <w:tcW w:type="dxa" w:w="108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P-02, P-03</w:t>
            </w:r>
          </w:p>
        </w:tc>
        <w:tc>
          <w:tcPr>
            <w:tcW w:type="dxa" w:w="12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US-12</w:t>
            </w:r>
          </w:p>
        </w:tc>
      </w:tr>
      <w:tr>
        <w:trPr>
          <w:cantSplit/>
        </w:trPr>
        <w:tc>
          <w:tcPr>
            <w:tcW w:type="dxa" w:w="812"/>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NFR-03</w:t>
            </w:r>
          </w:p>
        </w:tc>
        <w:tc>
          <w:tcPr>
            <w:tcW w:type="dxa" w:w="49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Audit records are retained for the period required by the bank's record-retention policy.</w:t>
            </w:r>
          </w:p>
        </w:tc>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Must</w:t>
            </w:r>
          </w:p>
        </w:tc>
        <w:tc>
          <w:tcPr>
            <w:tcW w:type="dxa" w:w="108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P-03</w:t>
            </w:r>
          </w:p>
        </w:tc>
        <w:tc>
          <w:tcPr>
            <w:tcW w:type="dxa" w:w="1264"/>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US-07</w:t>
            </w:r>
          </w:p>
        </w:tc>
      </w:tr>
    </w:tbl>
    <w:p>
      <w:pPr>
        <w:pStyle w:val="Heading2"/>
        <w:spacing w:after="120" w:before="240"/>
      </w:pPr>
      <w:r>
        <w:t xml:space="preserve">7.4 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2527"/>
        <w:gridCol w:w="5596"/>
      </w:tblGrid>
      <w:tr>
        <w:trPr>
          <w:tblHeader/>
        </w:trPr>
        <w:tc>
          <w:tcPr>
            <w:tcW w:type="dxa" w:w="903"/>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ID</w:t>
            </w:r>
          </w:p>
        </w:tc>
        <w:tc>
          <w:tcPr>
            <w:tcW w:type="dxa" w:w="2527"/>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Rule</w:t>
            </w:r>
          </w:p>
        </w:tc>
        <w:tc>
          <w:tcPr>
            <w:tcW w:type="dxa" w:w="5596"/>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Detail</w:t>
            </w:r>
          </w:p>
        </w:tc>
      </w:tr>
      <w:tr>
        <w:trPr>
          <w:cantSplit/>
        </w:trPr>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BRL-01</w:t>
            </w:r>
          </w:p>
        </w:tc>
        <w:tc>
          <w:tcPr>
            <w:tcW w:type="dxa" w:w="252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Approval matrix (illustrative values)</w:t>
            </w:r>
          </w:p>
        </w:tc>
        <w:tc>
          <w:tcPr>
            <w:tcW w:type="dxa" w:w="5596"/>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Up to ₦1m: line manager. ₦1m–₦10m: line manager + budget holder. Over ₦10m: + Head of Procurement and Finance Director.</w:t>
            </w:r>
          </w:p>
        </w:tc>
      </w:tr>
      <w:tr>
        <w:trPr>
          <w:cantSplit/>
        </w:trPr>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BRL-02</w:t>
            </w:r>
          </w:p>
        </w:tc>
        <w:tc>
          <w:tcPr>
            <w:tcW w:type="dxa" w:w="252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Category approvals</w:t>
            </w:r>
          </w:p>
        </w:tc>
        <w:tc>
          <w:tcPr>
            <w:tcW w:type="dxa" w:w="5596"/>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IT hardware/software also needs IT approval; legal or consultancy services also need Legal approval, at any value.</w:t>
            </w:r>
          </w:p>
        </w:tc>
      </w:tr>
      <w:tr>
        <w:trPr>
          <w:cantSplit/>
        </w:trPr>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BRL-03</w:t>
            </w:r>
          </w:p>
        </w:tc>
        <w:tc>
          <w:tcPr>
            <w:tcW w:type="dxa" w:w="252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Match tolerance (to be agreed with Finance)</w:t>
            </w:r>
          </w:p>
        </w:tc>
        <w:tc>
          <w:tcPr>
            <w:tcW w:type="dxa" w:w="5596"/>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Price: ±2% per line. Quantity: no over-receipt; under-receipt is matched to the quantity received.</w:t>
            </w:r>
          </w:p>
        </w:tc>
      </w:tr>
      <w:tr>
        <w:trPr>
          <w:cantSplit/>
        </w:trPr>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BRL-04</w:t>
            </w:r>
          </w:p>
        </w:tc>
        <w:tc>
          <w:tcPr>
            <w:tcW w:type="dxa" w:w="252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Supplier status</w:t>
            </w:r>
          </w:p>
        </w:tc>
        <w:tc>
          <w:tcPr>
            <w:tcW w:type="dxa" w:w="5596"/>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Only Verified suppliers can receive POs. Status becomes Expired automatically when a mandatory document passes its expiry date.</w:t>
            </w:r>
          </w:p>
        </w:tc>
      </w:tr>
      <w:tr>
        <w:trPr>
          <w:cantSplit/>
        </w:trPr>
        <w:tc>
          <w:tcPr>
            <w:tcW w:type="dxa" w:w="903"/>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BRL-05</w:t>
            </w:r>
          </w:p>
        </w:tc>
        <w:tc>
          <w:tcPr>
            <w:tcW w:type="dxa" w:w="2527"/>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Segregation of duties</w:t>
            </w:r>
          </w:p>
        </w:tc>
        <w:tc>
          <w:tcPr>
            <w:tcW w:type="dxa" w:w="5596"/>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The requester cannot approve their own requisition. Whoever creates a supplier cannot approve payments to that supplier.</w:t>
            </w:r>
          </w:p>
        </w:tc>
      </w:tr>
    </w:tbl>
    <w:p>
      <w:pPr>
        <w:pStyle w:val="Heading1"/>
        <w:spacing w:after="160" w:before="360"/>
      </w:pPr>
      <w:r>
        <w:t xml:space="preserve">8. User stories</w:t>
      </w:r>
    </w:p>
    <w:p>
      <w:pPr>
        <w:spacing w:after="120" w:line="276"/>
      </w:pPr>
      <w:r>
        <w:rPr>
          <w:rFonts w:ascii="Calibri" w:cs="Calibri" w:eastAsia="Calibri" w:hAnsi="Calibri"/>
          <w:color w:val="18212C"/>
          <w:sz w:val="22"/>
          <w:szCs w:val="22"/>
        </w:rPr>
        <w:t xml:space="preserve">The full backlog of 12 stories, with acceptance criteria and estimates, is in backlog/user_stories.csv (Jira import format). The four core stories are:</w:t>
      </w:r>
    </w:p>
    <w:p>
      <w:pPr>
        <w:spacing w:after="60" w:before="160"/>
      </w:pPr>
      <w:r>
        <w:rPr>
          <w:rFonts w:ascii="Calibri" w:cs="Calibri" w:eastAsia="Calibri" w:hAnsi="Calibri"/>
          <w:b/>
          <w:bCs/>
          <w:color w:val="2453C4"/>
          <w:sz w:val="22"/>
          <w:szCs w:val="22"/>
        </w:rPr>
        <w:t xml:space="preserve">US-01 · Requisition</w:t>
      </w:r>
    </w:p>
    <w:p>
      <w:pPr>
        <w:spacing w:after="120" w:line="276"/>
      </w:pPr>
      <w:r>
        <w:rPr>
          <w:rFonts w:ascii="Calibri" w:cs="Calibri" w:eastAsia="Calibri" w:hAnsi="Calibri"/>
          <w:color w:val="18212C"/>
          <w:sz w:val="22"/>
          <w:szCs w:val="22"/>
        </w:rPr>
        <w:t xml:space="preserve">As a requester, I want a guided requisition form with mandatory fields and budget codes, so that I do not have to resubmit my request.</w:t>
      </w:r>
    </w:p>
    <w:p>
      <w:pPr>
        <w:pStyle w:val="ListParagraph"/>
        <w:numPr>
          <w:ilvl w:val="0"/>
          <w:numId w:val="2"/>
        </w:numPr>
        <w:spacing w:after="80"/>
      </w:pPr>
      <w:r>
        <w:rPr>
          <w:rFonts w:ascii="Calibri" w:cs="Calibri" w:eastAsia="Calibri" w:hAnsi="Calibri"/>
          <w:color w:val="18212C"/>
          <w:sz w:val="22"/>
          <w:szCs w:val="22"/>
        </w:rPr>
        <w:t xml:space="preserve">Given a required field is empty, when I try to submit, then the form blocks submission and highlights the field.</w:t>
      </w:r>
    </w:p>
    <w:p>
      <w:pPr>
        <w:pStyle w:val="ListParagraph"/>
        <w:numPr>
          <w:ilvl w:val="0"/>
          <w:numId w:val="2"/>
        </w:numPr>
        <w:spacing w:after="80"/>
      </w:pPr>
      <w:r>
        <w:rPr>
          <w:rFonts w:ascii="Calibri" w:cs="Calibri" w:eastAsia="Calibri" w:hAnsi="Calibri"/>
          <w:color w:val="18212C"/>
          <w:sz w:val="22"/>
          <w:szCs w:val="22"/>
        </w:rPr>
        <w:t xml:space="preserve">Given I have selected a cost centre, then only budget codes valid for that cost centre are shown.</w:t>
      </w:r>
    </w:p>
    <w:p>
      <w:pPr>
        <w:spacing w:after="60" w:before="160"/>
      </w:pPr>
      <w:r>
        <w:rPr>
          <w:rFonts w:ascii="Calibri" w:cs="Calibri" w:eastAsia="Calibri" w:hAnsi="Calibri"/>
          <w:b/>
          <w:bCs/>
          <w:color w:val="2453C4"/>
          <w:sz w:val="22"/>
          <w:szCs w:val="22"/>
        </w:rPr>
        <w:t xml:space="preserve">US-02 · Approval</w:t>
      </w:r>
    </w:p>
    <w:p>
      <w:pPr>
        <w:spacing w:after="120" w:line="276"/>
      </w:pPr>
      <w:r>
        <w:rPr>
          <w:rFonts w:ascii="Calibri" w:cs="Calibri" w:eastAsia="Calibri" w:hAnsi="Calibri"/>
          <w:color w:val="18212C"/>
          <w:sz w:val="22"/>
          <w:szCs w:val="22"/>
        </w:rPr>
        <w:t xml:space="preserve">As a procurement officer, I want requisitions to route to the right approver automatically by value threshold and category, so that I no longer chase approvals by email.</w:t>
      </w:r>
    </w:p>
    <w:p>
      <w:pPr>
        <w:pStyle w:val="ListParagraph"/>
        <w:numPr>
          <w:ilvl w:val="0"/>
          <w:numId w:val="2"/>
        </w:numPr>
        <w:spacing w:after="80"/>
      </w:pPr>
      <w:r>
        <w:rPr>
          <w:rFonts w:ascii="Calibri" w:cs="Calibri" w:eastAsia="Calibri" w:hAnsi="Calibri"/>
          <w:color w:val="18212C"/>
          <w:sz w:val="22"/>
          <w:szCs w:val="22"/>
        </w:rPr>
        <w:t xml:space="preserve">Given a requisition exceeds an approval threshold, when it is approved at one level, then it routes to the next level automatically.</w:t>
      </w:r>
    </w:p>
    <w:p>
      <w:pPr>
        <w:pStyle w:val="ListParagraph"/>
        <w:numPr>
          <w:ilvl w:val="0"/>
          <w:numId w:val="2"/>
        </w:numPr>
        <w:spacing w:after="80"/>
      </w:pPr>
      <w:r>
        <w:rPr>
          <w:rFonts w:ascii="Calibri" w:cs="Calibri" w:eastAsia="Calibri" w:hAnsi="Calibri"/>
          <w:color w:val="18212C"/>
          <w:sz w:val="22"/>
          <w:szCs w:val="22"/>
        </w:rPr>
        <w:t xml:space="preserve">Every approval records the approver, timestamp and decision.</w:t>
      </w:r>
    </w:p>
    <w:p>
      <w:pPr>
        <w:spacing w:after="60" w:before="160"/>
      </w:pPr>
      <w:r>
        <w:rPr>
          <w:rFonts w:ascii="Calibri" w:cs="Calibri" w:eastAsia="Calibri" w:hAnsi="Calibri"/>
          <w:b/>
          <w:bCs/>
          <w:color w:val="2453C4"/>
          <w:sz w:val="22"/>
          <w:szCs w:val="22"/>
        </w:rPr>
        <w:t xml:space="preserve">US-03 · Supplier onboarding</w:t>
      </w:r>
    </w:p>
    <w:p>
      <w:pPr>
        <w:spacing w:after="120" w:line="276"/>
      </w:pPr>
      <w:r>
        <w:rPr>
          <w:rFonts w:ascii="Calibri" w:cs="Calibri" w:eastAsia="Calibri" w:hAnsi="Calibri"/>
          <w:color w:val="18212C"/>
          <w:sz w:val="22"/>
          <w:szCs w:val="22"/>
        </w:rPr>
        <w:t xml:space="preserve">As a compliance officer, I want the system to block POs to any supplier whose due diligence documents are not verified, so that we never pay an unvetted supplier.</w:t>
      </w:r>
    </w:p>
    <w:p>
      <w:pPr>
        <w:pStyle w:val="ListParagraph"/>
        <w:numPr>
          <w:ilvl w:val="0"/>
          <w:numId w:val="2"/>
        </w:numPr>
        <w:spacing w:after="80"/>
      </w:pPr>
      <w:r>
        <w:rPr>
          <w:rFonts w:ascii="Calibri" w:cs="Calibri" w:eastAsia="Calibri" w:hAnsi="Calibri"/>
          <w:color w:val="18212C"/>
          <w:sz w:val="22"/>
          <w:szCs w:val="22"/>
        </w:rPr>
        <w:t xml:space="preserve">Given a supplier's status is Pending, when a PO is raised for that supplier, then the system blocks it and shows which documents are missing.</w:t>
      </w:r>
    </w:p>
    <w:p>
      <w:pPr>
        <w:spacing w:after="60" w:before="160"/>
      </w:pPr>
      <w:r>
        <w:rPr>
          <w:rFonts w:ascii="Calibri" w:cs="Calibri" w:eastAsia="Calibri" w:hAnsi="Calibri"/>
          <w:b/>
          <w:bCs/>
          <w:color w:val="2453C4"/>
          <w:sz w:val="22"/>
          <w:szCs w:val="22"/>
        </w:rPr>
        <w:t xml:space="preserve">US-04 · Invoice to pay</w:t>
      </w:r>
    </w:p>
    <w:p>
      <w:pPr>
        <w:spacing w:after="120" w:line="276"/>
      </w:pPr>
      <w:r>
        <w:rPr>
          <w:rFonts w:ascii="Calibri" w:cs="Calibri" w:eastAsia="Calibri" w:hAnsi="Calibri"/>
          <w:color w:val="18212C"/>
          <w:sz w:val="22"/>
          <w:szCs w:val="22"/>
        </w:rPr>
        <w:t xml:space="preserve">As a accounts payable officer, I want invoices matched automatically to POs and goods receipts, so that I only handle real exceptions.</w:t>
      </w:r>
    </w:p>
    <w:p>
      <w:pPr>
        <w:pStyle w:val="ListParagraph"/>
        <w:numPr>
          <w:ilvl w:val="0"/>
          <w:numId w:val="2"/>
        </w:numPr>
        <w:spacing w:after="80"/>
      </w:pPr>
      <w:r>
        <w:rPr>
          <w:rFonts w:ascii="Calibri" w:cs="Calibri" w:eastAsia="Calibri" w:hAnsi="Calibri"/>
          <w:color w:val="18212C"/>
          <w:sz w:val="22"/>
          <w:szCs w:val="22"/>
        </w:rPr>
        <w:t xml:space="preserve">Given the invoice, PO and receipt match within tolerance, then the invoice is marked ready for payment.</w:t>
      </w:r>
    </w:p>
    <w:p>
      <w:pPr>
        <w:pStyle w:val="ListParagraph"/>
        <w:numPr>
          <w:ilvl w:val="0"/>
          <w:numId w:val="2"/>
        </w:numPr>
        <w:spacing w:after="80"/>
      </w:pPr>
      <w:r>
        <w:rPr>
          <w:rFonts w:ascii="Calibri" w:cs="Calibri" w:eastAsia="Calibri" w:hAnsi="Calibri"/>
          <w:color w:val="18212C"/>
          <w:sz w:val="22"/>
          <w:szCs w:val="22"/>
        </w:rPr>
        <w:t xml:space="preserve">Given a mismatch, then the invoice goes to the exception queue with the reason.</w:t>
      </w:r>
    </w:p>
    <w:p>
      <w:pPr>
        <w:pStyle w:val="Heading1"/>
        <w:spacing w:after="160" w:before="360"/>
      </w:pPr>
      <w:r>
        <w:t xml:space="preserve">9. Assumptions, constraints, dependencies and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7401"/>
      </w:tblGrid>
      <w:tr>
        <w:trPr>
          <w:tblHeader/>
        </w:trPr>
        <w:tc>
          <w:tcPr>
            <w:tcW w:type="dxa" w:w="1625"/>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Type</w:t>
            </w:r>
          </w:p>
        </w:tc>
        <w:tc>
          <w:tcPr>
            <w:tcW w:type="dxa" w:w="7401"/>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Item</w:t>
            </w:r>
          </w:p>
        </w:tc>
      </w:tr>
      <w:tr>
        <w:trPr>
          <w:cantSplit/>
        </w:trPr>
        <w:tc>
          <w:tcPr>
            <w:tcW w:type="dxa" w:w="1625"/>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Assumption</w:t>
            </w:r>
          </w:p>
        </w:tc>
        <w:tc>
          <w:tcPr>
            <w:tcW w:type="dxa" w:w="7401"/>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The bank's ERP or a P2P module can hold supplier status and enforce a PO block.</w:t>
            </w:r>
          </w:p>
        </w:tc>
      </w:tr>
      <w:tr>
        <w:trPr>
          <w:cantSplit/>
        </w:trPr>
        <w:tc>
          <w:tcPr>
            <w:tcW w:type="dxa" w:w="1625"/>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Assumption</w:t>
            </w:r>
          </w:p>
        </w:tc>
        <w:tc>
          <w:tcPr>
            <w:tcW w:type="dxa" w:w="7401"/>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Finance will own and maintain the approval matrix and match tolerances.</w:t>
            </w:r>
          </w:p>
        </w:tc>
      </w:tr>
      <w:tr>
        <w:trPr>
          <w:cantSplit/>
        </w:trPr>
        <w:tc>
          <w:tcPr>
            <w:tcW w:type="dxa" w:w="1625"/>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Constraint</w:t>
            </w:r>
          </w:p>
        </w:tc>
        <w:tc>
          <w:tcPr>
            <w:tcW w:type="dxa" w:w="7401"/>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Controls must meet the bank's regulatory and internal audit standards; no control may be weakened to save time.</w:t>
            </w:r>
          </w:p>
        </w:tc>
      </w:tr>
      <w:tr>
        <w:trPr>
          <w:cantSplit/>
        </w:trPr>
        <w:tc>
          <w:tcPr>
            <w:tcW w:type="dxa" w:w="1625"/>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Dependency</w:t>
            </w:r>
          </w:p>
        </w:tc>
        <w:tc>
          <w:tcPr>
            <w:tcW w:type="dxa" w:w="7401"/>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HR data for line managers and delegates must be current for routing to work.</w:t>
            </w:r>
          </w:p>
        </w:tc>
      </w:tr>
      <w:tr>
        <w:trPr>
          <w:cantSplit/>
        </w:trPr>
        <w:tc>
          <w:tcPr>
            <w:tcW w:type="dxa" w:w="1625"/>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Dependency</w:t>
            </w:r>
          </w:p>
        </w:tc>
        <w:tc>
          <w:tcPr>
            <w:tcW w:type="dxa" w:w="7401"/>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Cost centre and budget data must be available to the requisition form.</w:t>
            </w:r>
          </w:p>
        </w:tc>
      </w:tr>
      <w:tr>
        <w:trPr>
          <w:cantSplit/>
        </w:trPr>
        <w:tc>
          <w:tcPr>
            <w:tcW w:type="dxa" w:w="1625"/>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Risk</w:t>
            </w:r>
          </w:p>
        </w:tc>
        <w:tc>
          <w:tcPr>
            <w:tcW w:type="dxa" w:w="7401"/>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Requesters work around the system by raising purchases after the fact. Mitigation: retrospective POs reported monthly to the Head of Procurement.</w:t>
            </w:r>
          </w:p>
        </w:tc>
      </w:tr>
      <w:tr>
        <w:trPr>
          <w:cantSplit/>
        </w:trPr>
        <w:tc>
          <w:tcPr>
            <w:tcW w:type="dxa" w:w="1625"/>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Risk</w:t>
            </w:r>
          </w:p>
        </w:tc>
        <w:tc>
          <w:tcPr>
            <w:tcW w:type="dxa" w:w="7401"/>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Existing suppliers lack complete documents at go-live and are blocked. Mitigation: a document clean-up sprint before go-live, prioritised by spend.</w:t>
            </w:r>
          </w:p>
        </w:tc>
      </w:tr>
    </w:tbl>
    <w:p>
      <w:pPr>
        <w:pStyle w:val="Heading1"/>
        <w:spacing w:after="160" w:before="360"/>
      </w:pPr>
      <w:r>
        <w:t xml:space="preserve">10. Open questions</w:t>
      </w:r>
    </w:p>
    <w:p>
      <w:pPr>
        <w:pStyle w:val="ListParagraph"/>
        <w:numPr>
          <w:ilvl w:val="0"/>
          <w:numId w:val="2"/>
        </w:numPr>
        <w:spacing w:after="80"/>
      </w:pPr>
      <w:r>
        <w:rPr>
          <w:rFonts w:ascii="Calibri" w:cs="Calibri" w:eastAsia="Calibri" w:hAnsi="Calibri"/>
          <w:color w:val="18212C"/>
          <w:sz w:val="22"/>
          <w:szCs w:val="22"/>
        </w:rPr>
        <w:t xml:space="preserve">What are the agreed approval thresholds and who approves at each level? (Values in BRL-01 are placeholders.)</w:t>
      </w:r>
    </w:p>
    <w:p>
      <w:pPr>
        <w:pStyle w:val="ListParagraph"/>
        <w:numPr>
          <w:ilvl w:val="0"/>
          <w:numId w:val="2"/>
        </w:numPr>
        <w:spacing w:after="80"/>
      </w:pPr>
      <w:r>
        <w:rPr>
          <w:rFonts w:ascii="Calibri" w:cs="Calibri" w:eastAsia="Calibri" w:hAnsi="Calibri"/>
          <w:color w:val="18212C"/>
          <w:sz w:val="22"/>
          <w:szCs w:val="22"/>
        </w:rPr>
        <w:t xml:space="preserve">What price and quantity tolerances will Finance accept for automatic matching?</w:t>
      </w:r>
    </w:p>
    <w:p>
      <w:pPr>
        <w:pStyle w:val="ListParagraph"/>
        <w:numPr>
          <w:ilvl w:val="0"/>
          <w:numId w:val="2"/>
        </w:numPr>
        <w:spacing w:after="80"/>
      </w:pPr>
      <w:r>
        <w:rPr>
          <w:rFonts w:ascii="Calibri" w:cs="Calibri" w:eastAsia="Calibri" w:hAnsi="Calibri"/>
          <w:color w:val="18212C"/>
          <w:sz w:val="22"/>
          <w:szCs w:val="22"/>
        </w:rPr>
        <w:t xml:space="preserve">Should low-value, low-risk purchases (for example under ₦50,000) use a simpler route or purchase cards?</w:t>
      </w:r>
    </w:p>
    <w:p>
      <w:pPr>
        <w:pStyle w:val="ListParagraph"/>
        <w:numPr>
          <w:ilvl w:val="0"/>
          <w:numId w:val="2"/>
        </w:numPr>
        <w:spacing w:after="80"/>
      </w:pPr>
      <w:r>
        <w:rPr>
          <w:rFonts w:ascii="Calibri" w:cs="Calibri" w:eastAsia="Calibri" w:hAnsi="Calibri"/>
          <w:color w:val="18212C"/>
          <w:sz w:val="22"/>
          <w:szCs w:val="22"/>
        </w:rPr>
        <w:t xml:space="preserve">How should urgent purchases be handled when a supplier is still Pending?</w:t>
      </w:r>
    </w:p>
    <w:p>
      <w:pPr>
        <w:pStyle w:val="Heading1"/>
        <w:spacing w:after="160" w:before="360"/>
      </w:pPr>
      <w:r>
        <w:t xml:space="preserve">11.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708"/>
        <w:gridCol w:w="1805"/>
        <w:gridCol w:w="1805"/>
      </w:tblGrid>
      <w:tr>
        <w:trPr>
          <w:tblHeader/>
        </w:trPr>
        <w:tc>
          <w:tcPr>
            <w:tcW w:type="dxa" w:w="2708"/>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Role</w:t>
            </w:r>
          </w:p>
        </w:tc>
        <w:tc>
          <w:tcPr>
            <w:tcW w:type="dxa" w:w="2708"/>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Name</w:t>
            </w:r>
          </w:p>
        </w:tc>
        <w:tc>
          <w:tcPr>
            <w:tcW w:type="dxa" w:w="1805"/>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Decision</w:t>
            </w:r>
          </w:p>
        </w:tc>
        <w:tc>
          <w:tcPr>
            <w:tcW w:type="dxa" w:w="1805"/>
            <w:shd w:fill="E8EDF4" w:color="auto" w:val="clear"/>
            <w:tcMar>
              <w:top w:type="dxa" w:w="60"/>
              <w:left w:type="dxa" w:w="100"/>
              <w:bottom w:type="dxa" w:w="60"/>
              <w:right w:type="dxa" w:w="100"/>
            </w:tcMar>
          </w:tcPr>
          <w:p>
            <w:pPr>
              <w:spacing w:after="40"/>
              <w:jc w:val="left"/>
            </w:pPr>
            <w:r>
              <w:rPr>
                <w:rFonts w:ascii="Calibri" w:cs="Calibri" w:eastAsia="Calibri" w:hAnsi="Calibri"/>
                <w:b/>
                <w:bCs/>
                <w:color w:val="18212C"/>
                <w:sz w:val="18"/>
                <w:szCs w:val="18"/>
              </w:rPr>
              <w:t xml:space="preserve">Date</w:t>
            </w:r>
          </w:p>
        </w:tc>
      </w:tr>
      <w:tr>
        <w:trPr>
          <w:cantSplit/>
        </w:trPr>
        <w:tc>
          <w:tcPr>
            <w:tcW w:type="dxa" w:w="2708"/>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Head of Procurement</w:t>
            </w:r>
          </w:p>
        </w:tc>
        <w:tc>
          <w:tcPr>
            <w:tcW w:type="dxa" w:w="2708"/>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
            </w:r>
          </w:p>
        </w:tc>
        <w:tc>
          <w:tcPr>
            <w:tcW w:type="dxa" w:w="1805"/>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
            </w:r>
          </w:p>
        </w:tc>
        <w:tc>
          <w:tcPr>
            <w:tcW w:type="dxa" w:w="1805"/>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
            </w:r>
          </w:p>
        </w:tc>
      </w:tr>
      <w:tr>
        <w:trPr>
          <w:cantSplit/>
        </w:trPr>
        <w:tc>
          <w:tcPr>
            <w:tcW w:type="dxa" w:w="2708"/>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Head of Finance / AP</w:t>
            </w:r>
          </w:p>
        </w:tc>
        <w:tc>
          <w:tcPr>
            <w:tcW w:type="dxa" w:w="2708"/>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
            </w:r>
          </w:p>
        </w:tc>
        <w:tc>
          <w:tcPr>
            <w:tcW w:type="dxa" w:w="1805"/>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
            </w:r>
          </w:p>
        </w:tc>
        <w:tc>
          <w:tcPr>
            <w:tcW w:type="dxa" w:w="1805"/>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
            </w:r>
          </w:p>
        </w:tc>
      </w:tr>
      <w:tr>
        <w:trPr>
          <w:cantSplit/>
        </w:trPr>
        <w:tc>
          <w:tcPr>
            <w:tcW w:type="dxa" w:w="2708"/>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Head of Compliance</w:t>
            </w:r>
          </w:p>
        </w:tc>
        <w:tc>
          <w:tcPr>
            <w:tcW w:type="dxa" w:w="2708"/>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
            </w:r>
          </w:p>
        </w:tc>
        <w:tc>
          <w:tcPr>
            <w:tcW w:type="dxa" w:w="1805"/>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
            </w:r>
          </w:p>
        </w:tc>
        <w:tc>
          <w:tcPr>
            <w:tcW w:type="dxa" w:w="1805"/>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
            </w:r>
          </w:p>
        </w:tc>
      </w:tr>
      <w:tr>
        <w:trPr>
          <w:cantSplit/>
        </w:trPr>
        <w:tc>
          <w:tcPr>
            <w:tcW w:type="dxa" w:w="2708"/>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Business Analyst</w:t>
            </w:r>
          </w:p>
        </w:tc>
        <w:tc>
          <w:tcPr>
            <w:tcW w:type="dxa" w:w="2708"/>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Chiamaka Ikpo</w:t>
            </w:r>
          </w:p>
        </w:tc>
        <w:tc>
          <w:tcPr>
            <w:tcW w:type="dxa" w:w="1805"/>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Author</w:t>
            </w:r>
          </w:p>
        </w:tc>
        <w:tc>
          <w:tcPr>
            <w:tcW w:type="dxa" w:w="1805"/>
            <w:tcMar>
              <w:top w:type="dxa" w:w="60"/>
              <w:left w:type="dxa" w:w="100"/>
              <w:bottom w:type="dxa" w:w="60"/>
              <w:right w:type="dxa" w:w="100"/>
            </w:tcMar>
          </w:tcPr>
          <w:p>
            <w:pPr>
              <w:spacing w:after="40"/>
              <w:jc w:val="left"/>
            </w:pPr>
            <w:r>
              <w:rPr>
                <w:rFonts w:ascii="Calibri" w:cs="Calibri" w:eastAsia="Calibri" w:hAnsi="Calibri"/>
                <w:b w:val="false"/>
                <w:bCs w:val="false"/>
                <w:color w:val="18212C"/>
                <w:sz w:val="19"/>
                <w:szCs w:val="19"/>
              </w:rPr>
              <w:t xml:space="preserve"/>
            </w:r>
          </w:p>
        </w:tc>
      </w:tr>
    </w:tbl>
    <w:sectPr>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878"/>
        <w:sz w:val="16"/>
        <w:szCs w:val="16"/>
      </w:rPr>
      <w:t xml:space="preserve">BRD · Procure-to-pay · Chiamaka Ikpo · Page </w:t>
    </w:r>
    <w:r>
      <w:rPr>
        <w:rFonts w:ascii="Calibri" w:cs="Calibri" w:eastAsia="Calibri" w:hAnsi="Calibri"/>
        <w:color w:val="5B687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878"/>
        <w:sz w:val="16"/>
        <w:szCs w:val="16"/>
      </w:rPr>
      <w:t xml:space="preserve">BRD · Procure-to-pay · Chiamaka Ikpo · Page </w:t>
    </w:r>
    <w:r>
      <w:rPr>
        <w:rFonts w:ascii="Calibri" w:cs="Calibri" w:eastAsia="Calibri" w:hAnsi="Calibri"/>
        <w:color w:val="5B687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878"/>
        <w:sz w:val="16"/>
        <w:szCs w:val="16"/>
      </w:rPr>
      <w:t xml:space="preserve">BRD · Procure-to-pay · Chiamaka Ikpo · Page </w:t>
    </w:r>
    <w:r>
      <w:rPr>
        <w:rFonts w:ascii="Calibri" w:cs="Calibri" w:eastAsia="Calibri" w:hAnsi="Calibri"/>
        <w:color w:val="5B68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21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8212C"/>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453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18c25d2f4eb8924cf4fafbb00ad9901d97730a26.png"/><Relationship Id="rId11" Type="http://schemas.openxmlformats.org/officeDocument/2006/relationships/image" Target="media/dc902bd7183336e6285eb04a84a6c61978a7477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Controlled procure-to-pay and supplier onboarding</dc:title>
  <dc:creator>Chiamaka Ikpo</dc:creator>
  <cp:lastModifiedBy>Un-named</cp:lastModifiedBy>
  <cp:revision>1</cp:revision>
  <dcterms:created xsi:type="dcterms:W3CDTF">2026-10-04T22:56:49.515Z</dcterms:created>
  <dcterms:modified xsi:type="dcterms:W3CDTF">2026-10-04T22:56:49.515Z</dcterms:modified>
</cp:coreProperties>
</file>

<file path=docProps/custom.xml><?xml version="1.0" encoding="utf-8"?>
<Properties xmlns="http://schemas.openxmlformats.org/officeDocument/2006/custom-properties" xmlns:vt="http://schemas.openxmlformats.org/officeDocument/2006/docPropsVTypes"/>
</file>