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3DCAC">
      <w:pPr>
        <w:jc w:val="center"/>
        <w:rPr>
          <w:sz w:val="28"/>
          <w:szCs w:val="28"/>
        </w:rPr>
      </w:pPr>
      <w:r>
        <w:rPr>
          <w:rFonts w:hint="default"/>
          <w:sz w:val="28"/>
          <w:szCs w:val="28"/>
        </w:rPr>
        <w:t>ModelEngine平台学习调研阐述</w:t>
      </w:r>
    </w:p>
    <w:p w14:paraId="28128F15">
      <w:pPr>
        <w:numPr>
          <w:ilvl w:val="0"/>
          <w:numId w:val="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ModelEngine平台定位</w:t>
      </w:r>
    </w:p>
    <w:p w14:paraId="7F581439">
      <w:pPr>
        <w:numPr>
          <w:numId w:val="0"/>
        </w:numPr>
        <w:rPr>
          <w:rFonts w:hint="default"/>
          <w:b/>
          <w:bCs/>
          <w:sz w:val="24"/>
          <w:szCs w:val="24"/>
        </w:rPr>
      </w:pPr>
    </w:p>
    <w:p w14:paraId="33ECAD98">
      <w:pPr>
        <w:ind w:firstLine="420" w:firstLineChars="0"/>
        <w:rPr>
          <w:rFonts w:hint="default"/>
        </w:rPr>
      </w:pPr>
      <w:r>
        <w:rPr>
          <w:rFonts w:hint="default"/>
        </w:rPr>
        <w:t>ModelEngine是华为提供的全流程AI开发工具链，专注于缩短从数据到模型、从数据到AI应用的落地周期。该平台通过整合数据处理、模型训练推理和应用开发三大环节，为AI开发者提供开箱即用的全流程开发体验。</w:t>
      </w:r>
    </w:p>
    <w:p w14:paraId="501CC305">
      <w:pPr>
        <w:ind w:firstLine="420" w:firstLineChars="0"/>
        <w:rPr>
          <w:rFonts w:hint="default"/>
        </w:rPr>
      </w:pPr>
      <w:bookmarkStart w:id="0" w:name="_GoBack"/>
      <w:bookmarkEnd w:id="0"/>
    </w:p>
    <w:p w14:paraId="314F6C6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核心原理与功能模块</w:t>
      </w:r>
    </w:p>
    <w:p w14:paraId="3A11036A">
      <w:pPr>
        <w:numPr>
          <w:numId w:val="0"/>
        </w:numPr>
        <w:ind w:leftChars="0"/>
        <w:rPr>
          <w:rFonts w:hint="default"/>
          <w:b/>
          <w:bCs/>
          <w:sz w:val="24"/>
          <w:szCs w:val="24"/>
        </w:rPr>
      </w:pPr>
    </w:p>
    <w:p w14:paraId="4EA97DA7">
      <w:pPr>
        <w:numPr>
          <w:ilvl w:val="0"/>
          <w:numId w:val="2"/>
        </w:numPr>
        <w:rPr>
          <w:rFonts w:hint="default"/>
          <w:b/>
          <w:bCs/>
        </w:rPr>
      </w:pPr>
      <w:r>
        <w:rPr>
          <w:rFonts w:hint="default"/>
          <w:b/>
          <w:bCs/>
        </w:rPr>
        <w:t>数据使能模块</w:t>
      </w:r>
    </w:p>
    <w:p w14:paraId="19085E0D">
      <w:pPr>
        <w:rPr>
          <w:rFonts w:hint="default"/>
        </w:rPr>
      </w:pPr>
      <w:r>
        <w:rPr>
          <w:rFonts w:hint="default"/>
          <w:b/>
          <w:bCs/>
        </w:rPr>
        <w:t>功能定位</w:t>
      </w:r>
      <w:r>
        <w:rPr>
          <w:rFonts w:hint="default"/>
        </w:rPr>
        <w:t>：提供多模态数据处理工具链，支持文本</w:t>
      </w:r>
    </w:p>
    <w:p w14:paraId="713B9A45">
      <w:pPr>
        <w:rPr/>
      </w:pPr>
      <w:r>
        <w:rPr>
          <w:rFonts w:hint="default"/>
        </w:rPr>
        <w:t>（PDF/DOC/DOCX/Markdown/MD/TXT/Html/XML/JSON）和图像（PNG/JPG/BMP/JPEG）格式的数据处理</w:t>
      </w:r>
    </w:p>
    <w:p w14:paraId="34343C7F">
      <w:pPr>
        <w:rPr/>
      </w:pPr>
      <w:r>
        <w:rPr>
          <w:rFonts w:hint="default"/>
          <w:b/>
          <w:bCs/>
        </w:rPr>
        <w:t>核心能力</w:t>
      </w:r>
      <w:r>
        <w:rPr>
          <w:rFonts w:hint="default"/>
        </w:rPr>
        <w:t>：</w:t>
      </w:r>
    </w:p>
    <w:p w14:paraId="18F0A864">
      <w:pPr>
        <w:rPr/>
      </w:pPr>
      <w:r>
        <w:rPr>
          <w:rFonts w:hint="eastAsia"/>
          <w:lang w:val="en-US" w:eastAsia="zh-CN"/>
        </w:rPr>
        <w:t>(1)</w:t>
      </w:r>
      <w:r>
        <w:rPr>
          <w:rFonts w:hint="default"/>
        </w:rPr>
        <w:t>数据清洗：内置多模态数据清洗算子</w:t>
      </w:r>
    </w:p>
    <w:p w14:paraId="1D4899B0">
      <w:pPr>
        <w:rPr/>
      </w:pPr>
      <w:r>
        <w:rPr>
          <w:rFonts w:hint="eastAsia"/>
          <w:lang w:val="en-US" w:eastAsia="zh-CN"/>
        </w:rPr>
        <w:t>(2)</w:t>
      </w:r>
      <w:r>
        <w:rPr>
          <w:rFonts w:hint="default"/>
        </w:rPr>
        <w:t>质量评估：支持文本质量的自动化评估与人工评估，形成数据清洗效果反馈闭环</w:t>
      </w:r>
    </w:p>
    <w:p w14:paraId="356FF3B5">
      <w:pPr>
        <w:rPr/>
      </w:pPr>
      <w:r>
        <w:rPr>
          <w:rFonts w:hint="eastAsia"/>
          <w:lang w:val="en-US" w:eastAsia="zh-CN"/>
        </w:rPr>
        <w:t>(3)</w:t>
      </w:r>
      <w:r>
        <w:rPr>
          <w:rFonts w:hint="default"/>
        </w:rPr>
        <w:t>QA对生成：基于清洗后文本与外置大模型服务，自动生成微调QA对，留用率达60%</w:t>
      </w:r>
    </w:p>
    <w:p w14:paraId="411294D1">
      <w:pPr>
        <w:rPr/>
      </w:pPr>
      <w:r>
        <w:rPr>
          <w:rFonts w:hint="eastAsia"/>
          <w:lang w:val="en-US" w:eastAsia="zh-CN"/>
        </w:rPr>
        <w:t>(4)</w:t>
      </w:r>
      <w:r>
        <w:rPr>
          <w:rFonts w:hint="default"/>
        </w:rPr>
        <w:t>知识向量化：通过Embedding模型与向量数据库服务，将文本数据转化为向量化知识</w:t>
      </w:r>
    </w:p>
    <w:p w14:paraId="03360571">
      <w:pPr>
        <w:rPr/>
      </w:pPr>
      <w:r>
        <w:rPr>
          <w:rFonts w:hint="default"/>
          <w:b/>
          <w:bCs/>
        </w:rPr>
        <w:t>应用场景</w:t>
      </w:r>
      <w:r>
        <w:rPr>
          <w:rFonts w:hint="default"/>
        </w:rPr>
        <w:t>：</w:t>
      </w:r>
    </w:p>
    <w:p w14:paraId="75CB65B2">
      <w:pPr>
        <w:rPr/>
      </w:pPr>
      <w:r>
        <w:rPr>
          <w:rFonts w:hint="default"/>
        </w:rPr>
        <w:t>大模型训练：提供完整数据处理工具链，解决高质量数据获取难题</w:t>
      </w:r>
    </w:p>
    <w:p w14:paraId="25AD8B07">
      <w:pPr>
        <w:rPr>
          <w:rFonts w:hint="default"/>
        </w:rPr>
      </w:pPr>
      <w:r>
        <w:rPr>
          <w:rFonts w:hint="default"/>
        </w:rPr>
        <w:t>大模型推理：提供知识库管理能力，支持领域知识的生成与更新</w:t>
      </w:r>
    </w:p>
    <w:p w14:paraId="0FD6A14B">
      <w:pPr>
        <w:rPr>
          <w:rFonts w:hint="default"/>
        </w:rPr>
      </w:pPr>
    </w:p>
    <w:p w14:paraId="10A11DC1">
      <w:pPr>
        <w:rPr/>
      </w:pPr>
      <w:r>
        <w:rPr>
          <w:rFonts w:hint="default"/>
          <w:b/>
          <w:bCs/>
        </w:rPr>
        <w:t>2. 模型使能模块</w:t>
      </w:r>
    </w:p>
    <w:p w14:paraId="4F37A64D">
      <w:pPr>
        <w:rPr/>
      </w:pPr>
      <w:r>
        <w:rPr>
          <w:rFonts w:hint="default"/>
          <w:b/>
          <w:bCs/>
        </w:rPr>
        <w:t>功能定位</w:t>
      </w:r>
      <w:r>
        <w:rPr>
          <w:rFonts w:hint="default"/>
        </w:rPr>
        <w:t>：面向模型微调和推理的工具链，降低模型训练和推理门槛</w:t>
      </w:r>
    </w:p>
    <w:p w14:paraId="7F6D557E">
      <w:pPr>
        <w:rPr>
          <w:b/>
          <w:bCs/>
        </w:rPr>
      </w:pPr>
      <w:r>
        <w:rPr>
          <w:rFonts w:hint="default"/>
          <w:b/>
          <w:bCs/>
        </w:rPr>
        <w:t>核心能力：</w:t>
      </w:r>
    </w:p>
    <w:p w14:paraId="24233427">
      <w:pPr>
        <w:rPr/>
      </w:pPr>
      <w:r>
        <w:rPr>
          <w:rFonts w:hint="eastAsia"/>
          <w:lang w:val="en-US" w:eastAsia="zh-CN"/>
        </w:rPr>
        <w:t>(1)</w:t>
      </w:r>
      <w:r>
        <w:rPr>
          <w:rFonts w:hint="default"/>
        </w:rPr>
        <w:t>训练引擎：支持模型选型、评测、训练和微调，提供无代码操作界面</w:t>
      </w:r>
    </w:p>
    <w:p w14:paraId="6E375BC3">
      <w:pPr>
        <w:rPr/>
      </w:pPr>
      <w:r>
        <w:rPr>
          <w:rFonts w:hint="eastAsia"/>
          <w:lang w:val="en-US" w:eastAsia="zh-CN"/>
        </w:rPr>
        <w:t>(2)</w:t>
      </w:r>
      <w:r>
        <w:rPr>
          <w:rFonts w:hint="default"/>
        </w:rPr>
        <w:t>推理引擎：提供OpenAI标准推理接口，实现一键模型部署</w:t>
      </w:r>
    </w:p>
    <w:p w14:paraId="5DBA5E4C">
      <w:pPr>
        <w:rPr/>
      </w:pPr>
      <w:r>
        <w:rPr>
          <w:rFonts w:hint="eastAsia"/>
          <w:lang w:val="en-US" w:eastAsia="zh-CN"/>
        </w:rPr>
        <w:t>(3)</w:t>
      </w:r>
      <w:r>
        <w:rPr>
          <w:rFonts w:hint="default"/>
        </w:rPr>
        <w:t>模型管理：支持模型权重管理、量化及训练checkpoints归档</w:t>
      </w:r>
    </w:p>
    <w:p w14:paraId="694409C6">
      <w:pPr>
        <w:rPr/>
      </w:pPr>
      <w:r>
        <w:rPr>
          <w:rFonts w:hint="eastAsia"/>
          <w:lang w:val="en-US" w:eastAsia="zh-CN"/>
        </w:rPr>
        <w:t>(4)</w:t>
      </w:r>
      <w:r>
        <w:rPr>
          <w:rFonts w:hint="default"/>
        </w:rPr>
        <w:t>模型评测：支持第三方或自定义评测数据集，进行精度和性能评估</w:t>
      </w:r>
    </w:p>
    <w:p w14:paraId="73D899E3">
      <w:pPr>
        <w:rPr/>
      </w:pPr>
      <w:r>
        <w:rPr>
          <w:rFonts w:hint="default"/>
          <w:b/>
          <w:bCs/>
        </w:rPr>
        <w:t>生态支持：</w:t>
      </w:r>
    </w:p>
    <w:p w14:paraId="2E821F7E">
      <w:pPr>
        <w:rPr/>
      </w:pPr>
      <w:r>
        <w:rPr>
          <w:rFonts w:hint="default"/>
        </w:rPr>
        <w:t>硬件生态：支持昇腾NPU</w:t>
      </w:r>
    </w:p>
    <w:p w14:paraId="64978F38">
      <w:pPr>
        <w:rPr/>
      </w:pPr>
      <w:r>
        <w:rPr>
          <w:rFonts w:hint="default"/>
        </w:rPr>
        <w:t>模型生态：支持safetensors格式模型权重</w:t>
      </w:r>
    </w:p>
    <w:p w14:paraId="213DA87C">
      <w:pPr>
        <w:rPr>
          <w:b/>
          <w:bCs/>
        </w:rPr>
      </w:pPr>
    </w:p>
    <w:p w14:paraId="4B68CD16">
      <w:pPr>
        <w:rPr>
          <w:b/>
          <w:bCs/>
        </w:rPr>
      </w:pPr>
      <w:r>
        <w:rPr>
          <w:rFonts w:hint="default"/>
          <w:b/>
          <w:bCs/>
        </w:rPr>
        <w:t>3. 应用使能模块</w:t>
      </w:r>
    </w:p>
    <w:p w14:paraId="41AFA385">
      <w:pPr>
        <w:rPr/>
      </w:pPr>
      <w:r>
        <w:rPr>
          <w:rFonts w:hint="default"/>
          <w:b/>
          <w:bCs/>
        </w:rPr>
        <w:t>功能定位</w:t>
      </w:r>
      <w:r>
        <w:rPr>
          <w:rFonts w:hint="default"/>
        </w:rPr>
        <w:t>：为AI应用提供一站式开发、调试和部署工具</w:t>
      </w:r>
    </w:p>
    <w:p w14:paraId="2E9E907D">
      <w:pPr>
        <w:rPr>
          <w:b/>
          <w:bCs/>
        </w:rPr>
      </w:pPr>
      <w:r>
        <w:rPr>
          <w:rFonts w:hint="default"/>
          <w:b/>
          <w:bCs/>
        </w:rPr>
        <w:t>核心能力：</w:t>
      </w:r>
    </w:p>
    <w:p w14:paraId="40352B39">
      <w:pPr>
        <w:rPr/>
      </w:pPr>
      <w:r>
        <w:rPr>
          <w:rFonts w:hint="eastAsia"/>
          <w:lang w:val="en-US" w:eastAsia="zh-CN"/>
        </w:rPr>
        <w:t>(1)</w:t>
      </w:r>
      <w:r>
        <w:rPr>
          <w:rFonts w:hint="default"/>
        </w:rPr>
        <w:t>应用开发：提供完整的应用编排框架和丰富的内置插件</w:t>
      </w:r>
    </w:p>
    <w:p w14:paraId="5814B4D5">
      <w:pPr>
        <w:rPr/>
      </w:pPr>
      <w:r>
        <w:rPr>
          <w:rFonts w:hint="eastAsia"/>
          <w:lang w:val="en-US" w:eastAsia="zh-CN"/>
        </w:rPr>
        <w:t>(2)</w:t>
      </w:r>
      <w:r>
        <w:rPr>
          <w:rFonts w:hint="default"/>
        </w:rPr>
        <w:t>应用调试：支持黑盒与白盒两种调试方式，快速定位问题</w:t>
      </w:r>
    </w:p>
    <w:p w14:paraId="6496B807">
      <w:pPr>
        <w:rPr/>
      </w:pPr>
      <w:r>
        <w:rPr>
          <w:rFonts w:hint="eastAsia"/>
          <w:lang w:val="en-US" w:eastAsia="zh-CN"/>
        </w:rPr>
        <w:t>(3)</w:t>
      </w:r>
      <w:r>
        <w:rPr>
          <w:rFonts w:hint="default"/>
        </w:rPr>
        <w:t>应用部署：支持公共URL和北向API两种访问方式</w:t>
      </w:r>
    </w:p>
    <w:p w14:paraId="3FA3F06B">
      <w:pPr>
        <w:rPr>
          <w:b/>
          <w:bCs/>
        </w:rPr>
      </w:pPr>
      <w:r>
        <w:rPr>
          <w:rFonts w:hint="default"/>
          <w:b/>
          <w:bCs/>
        </w:rPr>
        <w:t>用户适配：</w:t>
      </w:r>
    </w:p>
    <w:p w14:paraId="402C6337">
      <w:pPr>
        <w:rPr/>
      </w:pPr>
      <w:r>
        <w:rPr>
          <w:rFonts w:hint="default"/>
        </w:rPr>
        <w:t>开发者：一站式开发、调试和部署框架，支持私域安全部署</w:t>
      </w:r>
    </w:p>
    <w:p w14:paraId="13F81AF0">
      <w:pPr>
        <w:rPr/>
      </w:pPr>
      <w:r>
        <w:rPr>
          <w:rFonts w:hint="default"/>
        </w:rPr>
        <w:t>普通用户：零代码、可视化RAG应用编排框架</w:t>
      </w:r>
    </w:p>
    <w:p w14:paraId="73937BDD">
      <w:pPr>
        <w:rPr/>
      </w:pPr>
    </w:p>
    <w:p w14:paraId="26C82D9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三、在本赛题中的作用分析</w:t>
      </w:r>
    </w:p>
    <w:p w14:paraId="49CB3994">
      <w:p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在本赛题中，ModelEngine并非一个被动的工具，而是主动定义了优化方向、提供基准环境并承载最终成果的核心平台。其具体作用如下：</w:t>
      </w:r>
    </w:p>
    <w:p w14:paraId="6F7EA62B">
      <w:pPr>
        <w:rPr>
          <w:rFonts w:hint="default"/>
          <w:sz w:val="21"/>
          <w:szCs w:val="21"/>
        </w:rPr>
      </w:pPr>
    </w:p>
    <w:p w14:paraId="60CCFF93">
      <w:pPr>
        <w:numPr>
          <w:ilvl w:val="0"/>
          <w:numId w:val="3"/>
        </w:num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提供性能基准与验证环境</w:t>
      </w:r>
    </w:p>
    <w:p w14:paraId="38AE6996">
      <w:pPr>
        <w:numPr>
          <w:numId w:val="0"/>
        </w:numPr>
        <w:ind w:firstLine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我们的优化目标是提升ViT在ModelEngine平台上的推理性能。因此，平台当前运行的ViT基线性能（如吞吐量、延迟）就是我们优化的起点和需要超越的标杆。所有针对昇腾NPU的底层优化策略，其有效性最终必须在ModelEngine这个目标环境中得到验证。 </w:t>
      </w:r>
    </w:p>
    <w:p w14:paraId="062A281F">
      <w:pPr>
        <w:numPr>
          <w:numId w:val="0"/>
        </w:numPr>
        <w:ind w:firstLine="420" w:firstLineChars="0"/>
        <w:rPr>
          <w:rFonts w:hint="default"/>
          <w:sz w:val="21"/>
          <w:szCs w:val="21"/>
        </w:rPr>
      </w:pPr>
    </w:p>
    <w:p w14:paraId="58B53DBE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明确技术优化路径</w:t>
      </w:r>
    </w:p>
    <w:p w14:paraId="7A99EDC5">
      <w:pPr>
        <w:numPr>
          <w:numId w:val="0"/>
        </w:num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ModelEngine的技术架构为我们指明了清晰且可行的优化方向： </w:t>
      </w:r>
    </w:p>
    <w:p w14:paraId="06240042">
      <w:pPr>
        <w:numPr>
          <w:numId w:val="0"/>
        </w:numPr>
        <w:rPr>
          <w:rFonts w:hint="default"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适配内存管理机制：</w:t>
      </w:r>
      <w:r>
        <w:rPr>
          <w:rFonts w:hint="default"/>
          <w:sz w:val="21"/>
          <w:szCs w:val="21"/>
        </w:rPr>
        <w:t>我们的优化需考虑ModelEngine的动态内存管理特性，通过优化ViT模型结构或中间缓存策略，使其更适配平台的换入换出机制，从而提升长序列处理能力。</w:t>
      </w:r>
    </w:p>
    <w:p w14:paraId="2272D7A4">
      <w:pPr>
        <w:numPr>
          <w:numId w:val="0"/>
        </w:numPr>
        <w:rPr>
          <w:rFonts w:hint="default"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利用模型量化工具</w:t>
      </w:r>
      <w:r>
        <w:rPr>
          <w:rFonts w:hint="default"/>
          <w:sz w:val="21"/>
          <w:szCs w:val="21"/>
        </w:rPr>
        <w:t>：直接利用ModelEngine“模型使能”模块支持的模型量化功能（如FP16、INT8），对ViT模型进行量化压缩，这是在精度与性能之间取得平衡的最直接手段。</w:t>
      </w:r>
    </w:p>
    <w:p w14:paraId="0DDBA9F8">
      <w:pPr>
        <w:numPr>
          <w:numId w:val="0"/>
        </w:numPr>
        <w:rPr>
          <w:rFonts w:hint="default"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针对计算图优化</w:t>
      </w:r>
      <w:r>
        <w:rPr>
          <w:rFonts w:hint="default"/>
          <w:sz w:val="21"/>
          <w:szCs w:val="21"/>
        </w:rPr>
        <w:t xml:space="preserve">：我们的优化工作可以深入到ModelEngine的图优化层面，分析ViT的计算图，识别并优化如Patch Embedding、多头Attention等关键环节，设计出更利于在NPU上执行的算子组合，与平台的优化方向形成合力。 </w:t>
      </w:r>
    </w:p>
    <w:p w14:paraId="70A68056">
      <w:pPr>
        <w:numPr>
          <w:numId w:val="0"/>
        </w:numPr>
        <w:rPr>
          <w:rFonts w:hint="default"/>
          <w:sz w:val="21"/>
          <w:szCs w:val="21"/>
        </w:rPr>
      </w:pPr>
    </w:p>
    <w:p w14:paraId="2339D5C9">
      <w:pPr>
        <w:numPr>
          <w:ilvl w:val="0"/>
          <w:numId w:val="3"/>
        </w:numPr>
        <w:tabs>
          <w:tab w:val="left" w:pos="257"/>
        </w:tabs>
        <w:ind w:left="0" w:leftChars="0" w:firstLine="0" w:firstLineChars="0"/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 xml:space="preserve">作为成果部署与价值转化的终端 </w:t>
      </w:r>
    </w:p>
    <w:p w14:paraId="74B85364">
      <w:pPr>
        <w:numPr>
          <w:numId w:val="0"/>
        </w:numPr>
        <w:ind w:firstLine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我们所有在昇腾NPU上的底层优化成果，无论是新的算子实现、更高效的量化方案还是内存调度策略，其最终价值都需要通过在ModelEngine上成功部署并稳定运行来体现。ModelEngine的 “一键部署” 和服务化管理能力，让我们的性能提升成果能够快速转化为一个可被调用的、高效稳定的ViT推理服务，完成了从技术优化到生产价值的闭环。</w:t>
      </w:r>
    </w:p>
    <w:p w14:paraId="62FFEE39">
      <w:pPr>
        <w:numPr>
          <w:numId w:val="0"/>
        </w:numPr>
        <w:ind w:firstLine="420" w:firstLineChars="0"/>
        <w:rPr>
          <w:rFonts w:hint="default"/>
          <w:sz w:val="21"/>
          <w:szCs w:val="21"/>
        </w:rPr>
      </w:pPr>
    </w:p>
    <w:p w14:paraId="1C8D367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四、总结</w:t>
      </w:r>
    </w:p>
    <w:p w14:paraId="5B316AC7">
      <w:pPr>
        <w:ind w:firstLine="420" w:firstLineChars="0"/>
        <w:rPr/>
      </w:pPr>
      <w:r>
        <w:rPr>
          <w:rFonts w:hint="default"/>
        </w:rPr>
        <w:t>ModelEngine作为全流程AI开发平台，在本赛题中主要提供模型优化、推理加速和效果验证的完整环境。其与昇腾NPU的深度集成、标准化的模型管理部署流程以及完善的调试评测工具，为ViT模型推理性能提升提供了强有力的平台支撑。通过充分利用平台的模型使能和应用使能模块，可以系统性地开展模型优化工作，并快速验证优化效果。</w:t>
      </w:r>
    </w:p>
    <w:p w14:paraId="46E8A972">
      <w:pPr>
        <w:rPr/>
      </w:pPr>
    </w:p>
    <w:p w14:paraId="511DFE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2B069"/>
    <w:multiLevelType w:val="singleLevel"/>
    <w:tmpl w:val="B2A2B06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6A4D778"/>
    <w:multiLevelType w:val="singleLevel"/>
    <w:tmpl w:val="B6A4D77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5484721"/>
    <w:multiLevelType w:val="singleLevel"/>
    <w:tmpl w:val="C548472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6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2025-11-04T15:41:48Z</dcterms:created>
  <dc:creator>Lenovo</dc:creator>
  <cp:lastModifiedBy>宋宇涵</cp:lastModifiedBy>
  <dcterms:modified xsi:type="dcterms:W3CDTF">2025-11-04T15:55:03Z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eyJoZGlkIjoiYzBkMjBiZGIwNjdlMThlNDQyZWU3NDY4ODkxZjE3MTEiLCJ1c2VySWQiOiIxNjM2ODkzNzQ5In0=</vt:lpwstr>
  </property>
  <property fmtid="{D5CDD505-2E9C-101B-9397-08002B2CF9AE}" pid="4" name="ICV">
    <vt:lpwstr>74494AF2326D4B9B8E945760749D9701_12</vt:lpwstr>
  </property>
</Properties>
</file>