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i w:val="false"/>
          <w:iCs w:val="false"/>
          <w:color w:val="1F4E79"/>
          <w:sz w:val="32"/>
          <w:szCs w:val="32"/>
        </w:rPr>
        <w:t xml:space="preserve">MSIN0097: Predictive Analytics</w:t>
      </w:r>
    </w:p>
    <w:p>
      <w:pPr>
        <w:spacing w:after="80" w:before="80"/>
        <w:jc w:val="center"/>
      </w:pPr>
      <w:r>
        <w:rPr>
          <w:rFonts w:ascii="Arial" w:cs="Arial" w:eastAsia="Arial" w:hAnsi="Arial"/>
          <w:b/>
          <w:bCs/>
          <w:i w:val="false"/>
          <w:iCs w:val="false"/>
          <w:color w:val="2E75B6"/>
          <w:sz w:val="28"/>
          <w:szCs w:val="28"/>
        </w:rPr>
        <w:t xml:space="preserve">Group Coursework 2025–26</w:t>
      </w:r>
    </w:p>
    <w:p>
      <w:pPr>
        <w:pBdr>
          <w:bottom w:val="single" w:color="2E75B6" w:sz="4" w:space="1"/>
        </w:pBdr>
        <w:spacing w:after="120"/>
      </w:pPr>
    </w:p>
    <w:p>
      <w:pPr>
        <w:spacing w:after="80" w:before="200"/>
        <w:jc w:val="center"/>
      </w:pPr>
      <w:r>
        <w:rPr>
          <w:rFonts w:ascii="Arial" w:cs="Arial" w:eastAsia="Arial" w:hAnsi="Arial"/>
          <w:b/>
          <w:bCs/>
          <w:i w:val="false"/>
          <w:iCs w:val="false"/>
          <w:color w:val="000000"/>
          <w:sz w:val="30"/>
          <w:szCs w:val="30"/>
        </w:rPr>
        <w:t xml:space="preserve">Evaluating Agent Tooling for Data Science:</w:t>
      </w:r>
    </w:p>
    <w:p>
      <w:pPr>
        <w:spacing w:after="80" w:before="0"/>
        <w:jc w:val="center"/>
      </w:pPr>
      <w:r>
        <w:rPr>
          <w:rFonts w:ascii="Arial" w:cs="Arial" w:eastAsia="Arial" w:hAnsi="Arial"/>
          <w:b/>
          <w:bCs/>
          <w:i w:val="false"/>
          <w:iCs w:val="false"/>
          <w:color w:val="000000"/>
          <w:sz w:val="30"/>
          <w:szCs w:val="30"/>
        </w:rPr>
        <w:t xml:space="preserve">A Benchmark Study of Claude, Codex, and Gemini CLI</w:t>
      </w:r>
    </w:p>
    <w:p>
      <w:pPr>
        <w:spacing w:after="0" w:before="400"/>
      </w:pPr>
    </w:p>
    <w:p>
      <w:pPr>
        <w:spacing w:after="80" w:before="0"/>
        <w:jc w:val="center"/>
      </w:pPr>
      <w:r>
        <w:rPr>
          <w:rFonts w:ascii="Arial" w:cs="Arial" w:eastAsia="Arial" w:hAnsi="Arial"/>
          <w:b w:val="false"/>
          <w:bCs w:val="false"/>
          <w:i w:val="false"/>
          <w:iCs w:val="false"/>
          <w:color w:val="595959"/>
          <w:sz w:val="22"/>
          <w:szCs w:val="22"/>
        </w:rPr>
        <w:t xml:space="preserve">Submission Date: 20 March 2026</w:t>
      </w:r>
    </w:p>
    <w:p>
      <w:pPr>
        <w:spacing w:after="80" w:before="0"/>
        <w:jc w:val="center"/>
      </w:pPr>
      <w:r>
        <w:rPr>
          <w:rFonts w:ascii="Arial" w:cs="Arial" w:eastAsia="Arial" w:hAnsi="Arial"/>
          <w:b w:val="false"/>
          <w:bCs w:val="false"/>
          <w:i w:val="false"/>
          <w:iCs w:val="false"/>
          <w:color w:val="595959"/>
          <w:sz w:val="22"/>
          <w:szCs w:val="22"/>
        </w:rPr>
        <w:t xml:space="preserve">Word Count: ~2,000 words (main body)</w:t>
      </w:r>
    </w:p>
    <w:p>
      <w:pPr>
        <w:spacing w:after="80" w:before="0"/>
        <w:jc w:val="center"/>
      </w:pPr>
      <w:r>
        <w:rPr>
          <w:rFonts w:ascii="Arial" w:cs="Arial" w:eastAsia="Arial" w:hAnsi="Arial"/>
          <w:b w:val="false"/>
          <w:bCs w:val="false"/>
          <w:i/>
          <w:iCs/>
          <w:color w:val="595959"/>
          <w:sz w:val="22"/>
          <w:szCs w:val="22"/>
        </w:rPr>
        <w:t xml:space="preserve">[Anonymous Submission — names omitted per UCL requirements]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rPr>
        <w:t xml:space="preserve">1. Introduction</w:t>
      </w:r>
    </w:p>
    <w:p>
      <w:pPr>
        <w:spacing w:after="80" w:before="0"/>
        <w:jc w:val="left"/>
      </w:pPr>
      <w:r>
        <w:rPr>
          <w:rFonts w:ascii="Arial" w:cs="Arial" w:eastAsia="Arial" w:hAnsi="Arial"/>
          <w:b w:val="false"/>
          <w:bCs w:val="false"/>
          <w:i w:val="false"/>
          <w:iCs w:val="false"/>
          <w:color w:val="000000"/>
          <w:sz w:val="22"/>
          <w:szCs w:val="22"/>
        </w:rPr>
        <w:t xml:space="preserve">Large language models (LLMs) have evolved rapidly from text generators into autonomous agents capable of writing, executing, and iterating code. In data science workflows, this shift raises a practical question: can agent tools reliably handle the full lifecycle of a machine learning project — from data auditing to reproducible packaging — without human intervention? This report presents a structured benchmark designed to answer that question across three leading agent tools: Claude (Anthropic), Codex (OpenAI), and Gemini CLI (Google). Using a digital payment fraud detection dataset, we tasked each agent with six reproducible tasks, scored outputs against a five-dimension rubric, and synthesised findings from three independent evaluations. Our results show meaningful differences in documentation rigour, statistical discipline, and failure transparency, with direct implications for practitioners considering AI-assisted data science.</w:t>
      </w:r>
    </w:p>
    <w:p>
      <w:pPr>
        <w:pStyle w:val="Heading1"/>
        <w:spacing w:after="120" w:before="360"/>
      </w:pPr>
      <w:r>
        <w:rPr>
          <w:rFonts w:ascii="Arial" w:cs="Arial" w:eastAsia="Arial" w:hAnsi="Arial"/>
        </w:rPr>
        <w:t xml:space="preserve">2. Literature Review</w:t>
      </w:r>
    </w:p>
    <w:p>
      <w:pPr>
        <w:pStyle w:val="Heading2"/>
        <w:spacing w:after="120" w:before="200"/>
      </w:pPr>
      <w:r>
        <w:rPr>
          <w:rFonts w:ascii="Arial" w:cs="Arial" w:eastAsia="Arial" w:hAnsi="Arial"/>
        </w:rPr>
        <w:t xml:space="preserve">2.1 Agentic AI Frameworks and Tool Use</w:t>
      </w:r>
    </w:p>
    <w:p>
      <w:pPr>
        <w:spacing w:after="80" w:before="0"/>
        <w:jc w:val="left"/>
      </w:pPr>
      <w:r>
        <w:rPr>
          <w:rFonts w:ascii="Arial" w:cs="Arial" w:eastAsia="Arial" w:hAnsi="Arial"/>
          <w:b w:val="false"/>
          <w:bCs w:val="false"/>
          <w:i w:val="false"/>
          <w:iCs w:val="false"/>
          <w:color w:val="000000"/>
          <w:sz w:val="22"/>
          <w:szCs w:val="22"/>
        </w:rPr>
        <w:t xml:space="preserve">The concept of LLMs as autonomous agents has its roots in the ReAct framework (Yao et al., 2023), which interleaves reasoning traces with actionable steps, enabling models to query external tools and incorporate their results into subsequent reasoning. This synergy of thinking and acting distinguishes agentic from purely generative behaviour, and has since become a foundational pattern in agent architectures. Toolformer (Schick et al., 2023) extended this line of work by training models to self-identify when and how to invoke APIs, demonstrating that tool use can be learned without supervised labels for each call. Together, these studies establish that the boundary between language generation and program execution is permeable — a property exploited by all three tools evaluated in this study.</w:t>
      </w:r>
    </w:p>
    <w:p>
      <w:pPr>
        <w:spacing w:after="80" w:before="0"/>
        <w:jc w:val="left"/>
      </w:pPr>
      <w:r>
        <w:rPr>
          <w:rFonts w:ascii="Arial" w:cs="Arial" w:eastAsia="Arial" w:hAnsi="Arial"/>
          <w:b w:val="false"/>
          <w:bCs w:val="false"/>
          <w:i w:val="false"/>
          <w:iCs w:val="false"/>
          <w:color w:val="000000"/>
          <w:sz w:val="22"/>
          <w:szCs w:val="22"/>
        </w:rPr>
        <w:t xml:space="preserve">Chain-of-thought prompting (Wei et al., 2022) provided an earlier signal that eliciting intermediate reasoning steps dramatically improves performance on complex tasks, including mathematical and code-related problems. Applied to data science agents, this suggests that agents which articulate their reasoning before committing code are more likely to produce correct and auditable outputs. Our benchmark captures this dimension through the Statistical Validity and Output Quality scoring criteria.</w:t>
      </w:r>
    </w:p>
    <w:p>
      <w:pPr>
        <w:spacing w:after="80" w:before="0"/>
        <w:jc w:val="left"/>
      </w:pPr>
      <w:r>
        <w:rPr>
          <w:rFonts w:ascii="Arial" w:cs="Arial" w:eastAsia="Arial" w:hAnsi="Arial"/>
          <w:b w:val="false"/>
          <w:bCs w:val="false"/>
          <w:i w:val="false"/>
          <w:iCs w:val="false"/>
          <w:color w:val="000000"/>
          <w:sz w:val="22"/>
          <w:szCs w:val="22"/>
        </w:rPr>
        <w:t xml:space="preserve">Multi-agent collaboration frameworks such as AutoGen (Wu et al., 2023) and MetaGPT (Hong et al., 2023) represent the next step: decomposing complex workflows across specialised sub-agents that verify each other's outputs. MetaGPT introduces structured role assignment (analyst, engineer, reviewer) and has demonstrated superior performance on software engineering tasks compared to single-agent approaches. While our benchmark uses single-agent runs, these architectures offer a roadmap for improving the failure modes we identify.</w:t>
      </w:r>
    </w:p>
    <w:p>
      <w:pPr>
        <w:pStyle w:val="Heading2"/>
        <w:spacing w:after="120" w:before="200"/>
      </w:pPr>
      <w:r>
        <w:rPr>
          <w:rFonts w:ascii="Arial" w:cs="Arial" w:eastAsia="Arial" w:hAnsi="Arial"/>
        </w:rPr>
        <w:t xml:space="preserve">2.2 Code Generation and Software Engineering Benchmarks</w:t>
      </w:r>
    </w:p>
    <w:p>
      <w:pPr>
        <w:spacing w:after="80" w:before="0"/>
        <w:jc w:val="left"/>
      </w:pPr>
      <w:r>
        <w:rPr>
          <w:rFonts w:ascii="Arial" w:cs="Arial" w:eastAsia="Arial" w:hAnsi="Arial"/>
          <w:b w:val="false"/>
          <w:bCs w:val="false"/>
          <w:i w:val="false"/>
          <w:iCs w:val="false"/>
          <w:color w:val="000000"/>
          <w:sz w:val="22"/>
          <w:szCs w:val="22"/>
        </w:rPr>
        <w:t xml:space="preserve">Codex (Chen et al., 2021) established that LLMs trained on code can generate syntactically and functionally correct solutions to a broad range of programming problems, as measured by the HumanEval benchmark. However, HumanEval tests isolated functions rather than end-to-end workflows. SWE-bench (Jimenez et al., 2024) addressed this gap by evaluating models on real GitHub issues requiring multi-file edits, revealing a dramatic performance gap: top models resolved fewer than 5% of issues autonomously at the time of publication. Data science workflows share characteristics with software engineering tasks — multi-file structure, pipeline dependencies, evaluation harnesses — but add statistical validity constraints that have no equivalent in typical programming benchmarks.</w:t>
      </w:r>
    </w:p>
    <w:p>
      <w:pPr>
        <w:spacing w:after="80" w:before="0"/>
        <w:jc w:val="left"/>
      </w:pPr>
      <w:r>
        <w:rPr>
          <w:rFonts w:ascii="Arial" w:cs="Arial" w:eastAsia="Arial" w:hAnsi="Arial"/>
          <w:b w:val="false"/>
          <w:bCs w:val="false"/>
          <w:i w:val="false"/>
          <w:iCs w:val="false"/>
          <w:color w:val="000000"/>
          <w:sz w:val="22"/>
          <w:szCs w:val="22"/>
        </w:rPr>
        <w:t xml:space="preserve">Competition-level code generation (Li et al., 2022) pushed further, showing that models with sampling strategies (AlphaCode) could match median competitive programmers on Codeforces. Yet competitive programming and data science diverge significantly: the former rewards clever algorithms on well-specified problems, while the latter requires domain judgment (e.g., recognising data leakage), honest interpretation of ambiguous metrics, and reproducible experimental design.</w:t>
      </w:r>
    </w:p>
    <w:p>
      <w:pPr>
        <w:pStyle w:val="Heading2"/>
        <w:spacing w:after="120" w:before="200"/>
      </w:pPr>
      <w:r>
        <w:rPr>
          <w:rFonts w:ascii="Arial" w:cs="Arial" w:eastAsia="Arial" w:hAnsi="Arial"/>
        </w:rPr>
        <w:t xml:space="preserve">2.3 Planning, Verification, and Reflexion</w:t>
      </w:r>
    </w:p>
    <w:p>
      <w:pPr>
        <w:spacing w:after="80" w:before="0"/>
        <w:jc w:val="left"/>
      </w:pPr>
      <w:r>
        <w:rPr>
          <w:rFonts w:ascii="Arial" w:cs="Arial" w:eastAsia="Arial" w:hAnsi="Arial"/>
          <w:b w:val="false"/>
          <w:bCs w:val="false"/>
          <w:i w:val="false"/>
          <w:iCs w:val="false"/>
          <w:color w:val="000000"/>
          <w:sz w:val="22"/>
          <w:szCs w:val="22"/>
        </w:rPr>
        <w:t xml:space="preserve">Reflexion (Shinn et al., 2023) introduced verbal reinforcement learning, where agents receive natural-language feedback on failed actions and revise their approach across multiple attempts. This mechanism closely mirrors how a data scientist iterates: run the code, observe the metric, diagnose the failure, revise the method. Our benchmark's efficiency dimension implicitly rewards agents that converge in fewer iterations, penalising those that require excessive trial and error. Voyager (Wang et al., 2023), though developed for open-world game environments, demonstrated that skill libraries and self-verification loops can accumulate complex competencies; analogous mechanisms in data science agents could automate tasks such as feature engineering search or hyperparameter tuning.</w:t>
      </w:r>
    </w:p>
    <w:p>
      <w:pPr>
        <w:spacing w:after="80" w:before="0"/>
        <w:jc w:val="left"/>
      </w:pPr>
      <w:r>
        <w:rPr>
          <w:rFonts w:ascii="Arial" w:cs="Arial" w:eastAsia="Arial" w:hAnsi="Arial"/>
          <w:b w:val="false"/>
          <w:bCs w:val="false"/>
          <w:i w:val="false"/>
          <w:iCs w:val="false"/>
          <w:color w:val="000000"/>
          <w:sz w:val="22"/>
          <w:szCs w:val="22"/>
        </w:rPr>
        <w:t xml:space="preserve">AgentBench (Liu et al., 2023) provides a multi-environment evaluation covering web browsing, code execution, and database querying, and found substantial variance across LLMs even for tasks superficially labelled as “solved” by simpler metrics. This underscores the importance of multi-dimensional rubrics — such as our five-criteria scoring framework — over single-metric leaderboards.</w:t>
      </w:r>
    </w:p>
    <w:p>
      <w:pPr>
        <w:pStyle w:val="Heading2"/>
        <w:spacing w:after="120" w:before="200"/>
      </w:pPr>
      <w:r>
        <w:rPr>
          <w:rFonts w:ascii="Arial" w:cs="Arial" w:eastAsia="Arial" w:hAnsi="Arial"/>
        </w:rPr>
        <w:t xml:space="preserve">2.4 Reproducibility and Failure Modes</w:t>
      </w:r>
    </w:p>
    <w:p>
      <w:pPr>
        <w:spacing w:after="80" w:before="0"/>
        <w:jc w:val="left"/>
      </w:pPr>
      <w:r>
        <w:rPr>
          <w:rFonts w:ascii="Arial" w:cs="Arial" w:eastAsia="Arial" w:hAnsi="Arial"/>
          <w:b w:val="false"/>
          <w:bCs w:val="false"/>
          <w:i w:val="false"/>
          <w:iCs w:val="false"/>
          <w:color w:val="000000"/>
          <w:sz w:val="22"/>
          <w:szCs w:val="22"/>
        </w:rPr>
        <w:t xml:space="preserve">The broader AI community has documented reproducibility as a persistent crisis (Bommasani et al., 2021). In agent-assisted data science, this manifests as stochastic outputs, undocumented dependencies, and unstated random seeds. Our benchmark directly addresses these risks through Task F (reproducibility packaging) and the Reproducibility dimension of the scoring rubric. Generative agents (Park et al., 2023) highlighted a different class of failure: hallucinated social interactions that appear plausible but are factually ungrounded. In our context, this corresponds to EDA insights claiming missing values where none exist (observed in both Codex and Gemini), or reporting a precision-recall area that exceeds what the data can support.</w:t>
      </w:r>
    </w:p>
    <w:p>
      <w:pPr>
        <w:pStyle w:val="Heading1"/>
        <w:spacing w:after="120" w:before="360"/>
      </w:pPr>
      <w:r>
        <w:rPr>
          <w:rFonts w:ascii="Arial" w:cs="Arial" w:eastAsia="Arial" w:hAnsi="Arial"/>
        </w:rPr>
        <w:t xml:space="preserve">3. Benchmark Design and Methodology</w:t>
      </w:r>
    </w:p>
    <w:p>
      <w:pPr>
        <w:pStyle w:val="Heading2"/>
        <w:spacing w:after="120" w:before="200"/>
      </w:pPr>
      <w:r>
        <w:rPr>
          <w:rFonts w:ascii="Arial" w:cs="Arial" w:eastAsia="Arial" w:hAnsi="Arial"/>
        </w:rPr>
        <w:t xml:space="preserve">3.1 Experimental Setup</w:t>
      </w:r>
    </w:p>
    <w:p>
      <w:pPr>
        <w:spacing w:after="80" w:before="0"/>
        <w:jc w:val="left"/>
      </w:pPr>
      <w:r>
        <w:rPr>
          <w:rFonts w:ascii="Arial" w:cs="Arial" w:eastAsia="Arial" w:hAnsi="Arial"/>
          <w:b w:val="false"/>
          <w:bCs w:val="false"/>
          <w:i w:val="false"/>
          <w:iCs w:val="false"/>
          <w:color w:val="000000"/>
          <w:sz w:val="22"/>
          <w:szCs w:val="22"/>
        </w:rPr>
        <w:t xml:space="preserve">The benchmark used the Digital Payment Fraud Detection Dataset (7,500 transactions, 15 features, 6.52% fraud rate). Three agents ran independently under identical conditions: same dataset, same task prompts, same allowed library stack (pandas, numpy, scikit-learn, matplotlib, joblib), same random seed (42), and the same stratified 70/15/15 train/validation/test split. The primary evaluation metric was Precision-Recall AUC (PR-AUC), chosen because it is more informative than ROC-AUC under class imbalance. Each agent received up to 20 minutes and 8 iterations per task. No human intervention was permitted beyond providing the initial task prompt.</w:t>
      </w:r>
    </w:p>
    <w:p>
      <w:pPr>
        <w:pStyle w:val="Heading2"/>
        <w:spacing w:after="120" w:before="200"/>
      </w:pPr>
      <w:r>
        <w:rPr>
          <w:rFonts w:ascii="Arial" w:cs="Arial" w:eastAsia="Arial" w:hAnsi="Arial"/>
        </w:rPr>
        <w:t xml:space="preserve">3.2 Task Definitions</w:t>
      </w:r>
    </w:p>
    <w:p>
      <w:pPr>
        <w:spacing w:after="80" w:before="0"/>
        <w:jc w:val="left"/>
      </w:pPr>
      <w:r>
        <w:rPr>
          <w:rFonts w:ascii="Arial" w:cs="Arial" w:eastAsia="Arial" w:hAnsi="Arial"/>
          <w:b w:val="false"/>
          <w:bCs w:val="false"/>
          <w:i w:val="false"/>
          <w:iCs w:val="false"/>
          <w:color w:val="000000"/>
          <w:sz w:val="22"/>
          <w:szCs w:val="22"/>
        </w:rPr>
        <w:t xml:space="preserve">Six tasks were defined with explicit success criteria:</w:t>
      </w:r>
    </w:p>
    <w:p>
      <w:pPr>
        <w:pStyle w:val="ListParagraph"/>
        <w:numPr>
          <w:ilvl w:val="0"/>
          <w:numId w:val="2"/>
        </w:numPr>
        <w:spacing w:after="60"/>
      </w:pPr>
      <w:r>
        <w:rPr>
          <w:rFonts w:ascii="Arial" w:cs="Arial" w:eastAsia="Arial" w:hAnsi="Arial"/>
          <w:sz w:val="22"/>
          <w:szCs w:val="22"/>
        </w:rPr>
        <w:t xml:space="preserve">Task A — Data Audit: load data, validate schema, compute missingness and range checks, produce a cleaned dataset and structured data profile.</w:t>
      </w:r>
    </w:p>
    <w:p>
      <w:pPr>
        <w:pStyle w:val="ListParagraph"/>
        <w:numPr>
          <w:ilvl w:val="0"/>
          <w:numId w:val="2"/>
        </w:numPr>
        <w:spacing w:after="60"/>
      </w:pPr>
      <w:r>
        <w:rPr>
          <w:rFonts w:ascii="Arial" w:cs="Arial" w:eastAsia="Arial" w:hAnsi="Arial"/>
          <w:sz w:val="22"/>
          <w:szCs w:val="22"/>
        </w:rPr>
        <w:t xml:space="preserve">Task B — EDA: generate at least 6 plots and 8 evidence-based insights covering fraud patterns by feature.</w:t>
      </w:r>
    </w:p>
    <w:p>
      <w:pPr>
        <w:pStyle w:val="ListParagraph"/>
        <w:numPr>
          <w:ilvl w:val="0"/>
          <w:numId w:val="2"/>
        </w:numPr>
        <w:spacing w:after="60"/>
      </w:pPr>
      <w:r>
        <w:rPr>
          <w:rFonts w:ascii="Arial" w:cs="Arial" w:eastAsia="Arial" w:hAnsi="Arial"/>
          <w:sz w:val="22"/>
          <w:szCs w:val="22"/>
        </w:rPr>
        <w:t xml:space="preserve">Task C — Baseline Model: train exactly one LogisticRegression in an sklearn Pipeline, evaluate on the held-out test set.</w:t>
      </w:r>
    </w:p>
    <w:p>
      <w:pPr>
        <w:pStyle w:val="ListParagraph"/>
        <w:numPr>
          <w:ilvl w:val="0"/>
          <w:numId w:val="2"/>
        </w:numPr>
        <w:spacing w:after="60"/>
      </w:pPr>
      <w:r>
        <w:rPr>
          <w:rFonts w:ascii="Arial" w:cs="Arial" w:eastAsia="Arial" w:hAnsi="Arial"/>
          <w:sz w:val="22"/>
          <w:szCs w:val="22"/>
        </w:rPr>
        <w:t xml:space="preserve">Task D — Model Improvement: evaluate three candidate models (from an approved pool of LR, RF, HGBC), apply at least two improvement methods, select on validation PR-AUC.</w:t>
      </w:r>
    </w:p>
    <w:p>
      <w:pPr>
        <w:pStyle w:val="ListParagraph"/>
        <w:numPr>
          <w:ilvl w:val="0"/>
          <w:numId w:val="2"/>
        </w:numPr>
        <w:spacing w:after="60"/>
      </w:pPr>
      <w:r>
        <w:rPr>
          <w:rFonts w:ascii="Arial" w:cs="Arial" w:eastAsia="Arial" w:hAnsi="Arial"/>
          <w:sz w:val="22"/>
          <w:szCs w:val="22"/>
        </w:rPr>
        <w:t xml:space="preserve">Task E — Bug/Leakage Debugging: identify and fix at least three bugs in a deliberately broken pipeline (target leakage, ID leakage, preprocessing on full data, non-stratified split).</w:t>
      </w:r>
    </w:p>
    <w:p>
      <w:pPr>
        <w:pStyle w:val="ListParagraph"/>
        <w:numPr>
          <w:ilvl w:val="0"/>
          <w:numId w:val="2"/>
        </w:numPr>
        <w:spacing w:after="60"/>
      </w:pPr>
      <w:r>
        <w:rPr>
          <w:rFonts w:ascii="Arial" w:cs="Arial" w:eastAsia="Arial" w:hAnsi="Arial"/>
          <w:sz w:val="22"/>
          <w:szCs w:val="22"/>
        </w:rPr>
        <w:t xml:space="preserve">Task F — Reproducibility Packaging: produce README, requirements.txt, MODEL_CARD, run script, and a complete tool_run_summary report.</w:t>
      </w:r>
    </w:p>
    <w:p>
      <w:pPr>
        <w:pStyle w:val="Heading2"/>
        <w:spacing w:after="120" w:before="200"/>
      </w:pPr>
      <w:r>
        <w:rPr>
          <w:rFonts w:ascii="Arial" w:cs="Arial" w:eastAsia="Arial" w:hAnsi="Arial"/>
        </w:rPr>
        <w:t xml:space="preserve">3.3 Evaluation Framework</w:t>
      </w:r>
    </w:p>
    <w:p>
      <w:pPr>
        <w:spacing w:after="80" w:before="0"/>
        <w:jc w:val="left"/>
      </w:pPr>
      <w:r>
        <w:rPr>
          <w:rFonts w:ascii="Arial" w:cs="Arial" w:eastAsia="Arial" w:hAnsi="Arial"/>
          <w:b w:val="false"/>
          <w:bCs w:val="false"/>
          <w:i w:val="false"/>
          <w:iCs w:val="false"/>
          <w:color w:val="000000"/>
          <w:sz w:val="22"/>
          <w:szCs w:val="22"/>
        </w:rPr>
        <w:t xml:space="preserve">Each task was scored on five dimensions (0–4 scale): Correctness, Statistical Validity, Reproducibility, Output Quality, and Efficiency. Scores were gathered from three independent evaluators and averaged. Weighted task scores were computed as: Weighted Score = Avg Task Score × Task Weight, where task weights sum to 100 and the maximum total score is 400. Final normalised scores are reported out of 100.</w:t>
      </w:r>
    </w:p>
    <w:p>
      <w:pPr>
        <w:pStyle w:val="Heading1"/>
        <w:spacing w:after="120" w:before="360"/>
      </w:pPr>
      <w:r>
        <w:rPr>
          <w:rFonts w:ascii="Arial" w:cs="Arial" w:eastAsia="Arial" w:hAnsi="Arial"/>
        </w:rPr>
        <w:t xml:space="preserve">4. Results and Comparative Analysis</w:t>
      </w:r>
    </w:p>
    <w:p>
      <w:pPr>
        <w:pStyle w:val="Heading2"/>
        <w:spacing w:after="120" w:before="200"/>
      </w:pPr>
      <w:r>
        <w:rPr>
          <w:rFonts w:ascii="Arial" w:cs="Arial" w:eastAsia="Arial" w:hAnsi="Arial"/>
        </w:rPr>
        <w:t xml:space="preserve">4.1 Overall Performance</w:t>
      </w:r>
    </w:p>
    <w:p>
      <w:pPr>
        <w:spacing w:after="80" w:before="0"/>
        <w:jc w:val="left"/>
      </w:pPr>
      <w:r>
        <w:rPr>
          <w:rFonts w:ascii="Arial" w:cs="Arial" w:eastAsia="Arial" w:hAnsi="Arial"/>
          <w:b w:val="false"/>
          <w:bCs w:val="false"/>
          <w:i w:val="false"/>
          <w:iCs w:val="false"/>
          <w:color w:val="000000"/>
          <w:sz w:val="22"/>
          <w:szCs w:val="22"/>
        </w:rPr>
        <w:t xml:space="preserve">Table 1 summarises cross-agent benchmark scores. Claude achieved the highest overall score (96.2/100), followed by Codex (86.2/100) and Gemini (72.9/100). Claude's lead was consistent across all tasks, with the narrowest gap appearing in Task E (bug debugging) where Codex nearly matched its performance.</w:t>
      </w:r>
    </w:p>
    <w:p>
      <w:pPr>
        <w:spacing w:after="60" w:before="160"/>
      </w:pPr>
      <w:r>
        <w:rPr>
          <w:rFonts w:ascii="Arial" w:cs="Arial" w:eastAsia="Arial" w:hAnsi="Arial"/>
          <w:b/>
          <w:bCs/>
          <w:color w:val="595959"/>
          <w:sz w:val="20"/>
          <w:szCs w:val="20"/>
        </w:rPr>
        <w:t xml:space="preserve">Table 1: Cross-Agent Benchmark Scores (Avg × Weight; max = 400)</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900"/>
        <w:gridCol w:w="900"/>
        <w:gridCol w:w="1086"/>
        <w:gridCol w:w="1100"/>
      </w:tblGrid>
      <w:tr>
        <w:trPr>
          <w:tblHeader/>
        </w:trP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9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A</w:t>
            </w:r>
          </w:p>
        </w:tc>
        <w:tc>
          <w:tcPr>
            <w:tcW w:type="dxa" w:w="9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B</w:t>
            </w:r>
          </w:p>
        </w:tc>
        <w:tc>
          <w:tcPr>
            <w:tcW w:type="dxa" w:w="9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C</w:t>
            </w:r>
          </w:p>
        </w:tc>
        <w:tc>
          <w:tcPr>
            <w:tcW w:type="dxa" w:w="9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D</w:t>
            </w:r>
          </w:p>
        </w:tc>
        <w:tc>
          <w:tcPr>
            <w:tcW w:type="dxa" w:w="9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E</w:t>
            </w:r>
          </w:p>
        </w:tc>
        <w:tc>
          <w:tcPr>
            <w:tcW w:type="dxa" w:w="9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F</w:t>
            </w:r>
          </w:p>
        </w:tc>
        <w:tc>
          <w:tcPr>
            <w:tcW w:type="dxa" w:w="1086"/>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/400</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/100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Claude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77.3</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78.7</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58.0</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384.7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96.2</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Codex</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34.7</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48.0</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70.7</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69.3</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76.0</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46.0</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344.7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86.2</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Gemini</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62.7</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57.3</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58.7</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39.0</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291.7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72.9</w:t>
            </w:r>
          </w:p>
        </w:tc>
      </w:tr>
    </w:tbl>
    <w:p>
      <w:pPr>
        <w:spacing w:after="200"/>
      </w:pPr>
    </w:p>
    <w:p>
      <w:pPr>
        <w:pStyle w:val="Heading2"/>
        <w:spacing w:after="120" w:before="200"/>
      </w:pPr>
      <w:r>
        <w:rPr>
          <w:rFonts w:ascii="Arial" w:cs="Arial" w:eastAsia="Arial" w:hAnsi="Arial"/>
        </w:rPr>
        <w:t xml:space="preserve">4.2 Task-Level Analysis</w:t>
      </w:r>
    </w:p>
    <w:p>
      <w:pPr>
        <w:spacing w:after="80" w:before="0"/>
        <w:jc w:val="left"/>
      </w:pPr>
      <w:r>
        <w:rPr>
          <w:rFonts w:ascii="Arial" w:cs="Arial" w:eastAsia="Arial" w:hAnsi="Arial"/>
          <w:b w:val="false"/>
          <w:bCs w:val="false"/>
          <w:i w:val="false"/>
          <w:iCs w:val="false"/>
          <w:color w:val="000000"/>
          <w:sz w:val="22"/>
          <w:szCs w:val="22"/>
        </w:rPr>
        <w:t xml:space="preserve">Task A (Data Audit): All three agents correctly identified the dataset as containing 7,500 rows, zero missing values, zero duplicates, and a 6.52% fraud rate. However, notes quality varied dramatically. Claude produced detailed per-column profiles and explicit range-check results; Gemini's notes comprised two sentences. A malformed row in Gemini's cleaned.csv output suggests incomplete pipeline testing.</w:t>
      </w:r>
    </w:p>
    <w:p>
      <w:pPr>
        <w:spacing w:after="80" w:before="0"/>
        <w:jc w:val="left"/>
      </w:pPr>
      <w:r>
        <w:rPr>
          <w:rFonts w:ascii="Arial" w:cs="Arial" w:eastAsia="Arial" w:hAnsi="Arial"/>
          <w:b w:val="false"/>
          <w:bCs w:val="false"/>
          <w:i w:val="false"/>
          <w:iCs w:val="false"/>
          <w:color w:val="000000"/>
          <w:sz w:val="22"/>
          <w:szCs w:val="22"/>
        </w:rPr>
        <w:t xml:space="preserve">Task B (EDA): Codex and Gemini both asserted, incorrectly, that the dataset contains missing values (EDA Insight 7). This factual hallucination — analogous to the grounded claim failures documented in Bommasani et al. (2021) — appeared in two of three agents and was never self-corrected. Claude's 10 insights each cited specific numeric evidence and were verifiable against the accompanying support statistics file.</w:t>
      </w:r>
    </w:p>
    <w:p>
      <w:pPr>
        <w:spacing w:after="80" w:before="0"/>
        <w:jc w:val="left"/>
      </w:pPr>
      <w:r>
        <w:rPr>
          <w:rFonts w:ascii="Arial" w:cs="Arial" w:eastAsia="Arial" w:hAnsi="Arial"/>
          <w:b w:val="false"/>
          <w:bCs w:val="false"/>
          <w:i w:val="false"/>
          <w:iCs w:val="false"/>
          <w:color w:val="000000"/>
          <w:sz w:val="22"/>
          <w:szCs w:val="22"/>
        </w:rPr>
        <w:t xml:space="preserve">Task C (Baseline Model): Codex and Gemini both produced a LogisticRegression whose default threshold yields Precision = Recall = F1 = 0 on the test set, meaning the model classifies every transaction as legitimate. While the PR-AUC (0.0711) was technically non-zero, the phenomenon reflects a failure to use class_weight="balanced" or inspect the decision threshold. Neither agent flagged this anomaly in their notes. Claude used class_weight="balanced", achieving PR-AUC = 0.0623 with non-trivial recall (0.452).</w:t>
      </w:r>
    </w:p>
    <w:p>
      <w:pPr>
        <w:spacing w:after="80" w:before="0"/>
        <w:jc w:val="left"/>
      </w:pPr>
      <w:r>
        <w:rPr>
          <w:rFonts w:ascii="Arial" w:cs="Arial" w:eastAsia="Arial" w:hAnsi="Arial"/>
          <w:b w:val="false"/>
          <w:bCs w:val="false"/>
          <w:i w:val="false"/>
          <w:iCs w:val="false"/>
          <w:color w:val="000000"/>
          <w:sz w:val="22"/>
          <w:szCs w:val="22"/>
        </w:rPr>
        <w:t xml:space="preserve">Task D (Model Improvement): Codex achieved the highest improved PR-AUC (0.1044), but this was accomplished by setting a threshold of 0.25, which produces a recall of 1.0 — effectively flagging every transaction as fraudulent. This is a degenerate classifier: while technically improving the PR-AUC metric, it would block all legitimate transactions in production. Gemini's improved model (PR-AUC = 0.0679) actually underperformed its own baseline (0.0711) — a regression that was not disclosed. Claude was the only agent to attempt feature engineering and honestly acknowledge the dataset's weak signal.</w:t>
      </w:r>
    </w:p>
    <w:p>
      <w:pPr>
        <w:spacing w:after="80" w:before="0"/>
        <w:jc w:val="left"/>
      </w:pPr>
      <w:r>
        <w:rPr>
          <w:rFonts w:ascii="Arial" w:cs="Arial" w:eastAsia="Arial" w:hAnsi="Arial"/>
          <w:b w:val="false"/>
          <w:bCs w:val="false"/>
          <w:i w:val="false"/>
          <w:iCs w:val="false"/>
          <w:color w:val="000000"/>
          <w:sz w:val="22"/>
          <w:szCs w:val="22"/>
        </w:rPr>
        <w:t xml:space="preserve">Task E (Bug Debugging): Codex detected the highest number of bugs (five, including evaluation on the training set), while Gemini's metrics_broken.json reported only training accuracy, omitting the PR-AUC = 1.0 that would have conclusively demonstrated target leakage. Claude and Codex both produced complete broken/fixed metric pairs with detailed error-detection-fix tables.</w:t>
      </w:r>
    </w:p>
    <w:p>
      <w:pPr>
        <w:spacing w:after="80" w:before="0"/>
        <w:jc w:val="left"/>
      </w:pPr>
      <w:r>
        <w:rPr>
          <w:rFonts w:ascii="Arial" w:cs="Arial" w:eastAsia="Arial" w:hAnsi="Arial"/>
          <w:b w:val="false"/>
          <w:bCs w:val="false"/>
          <w:i w:val="false"/>
          <w:iCs w:val="false"/>
          <w:color w:val="000000"/>
          <w:sz w:val="22"/>
          <w:szCs w:val="22"/>
        </w:rPr>
        <w:t xml:space="preserve">Task F (Reproducibility): Claude was the only agent to produce all five required deliverables (README, requirements.txt, MODEL_CARD, run_all.sh, tool_run_summary) with substantive content. Codex's run ID placeholder ("YYYY-MM-DD_run1") was never substituted, reducing traceability. Gemini's tool_run_summary was a single-paragraph template entry.</w:t>
      </w:r>
    </w:p>
    <w:p>
      <w:pPr>
        <w:spacing w:after="60" w:before="200"/>
      </w:pPr>
      <w:r>
        <w:rPr>
          <w:rFonts w:ascii="Arial" w:cs="Arial" w:eastAsia="Arial" w:hAnsi="Arial"/>
          <w:b/>
          <w:bCs/>
          <w:color w:val="595959"/>
          <w:sz w:val="20"/>
          <w:szCs w:val="20"/>
        </w:rPr>
        <w:t xml:space="preserve">Table 2: Predictive Performance and Reproducibility Summary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100"/>
        <w:gridCol w:w="1000"/>
        <w:gridCol w:w="1000"/>
        <w:gridCol w:w="1386"/>
        <w:gridCol w:w="1200"/>
      </w:tblGrid>
      <w:tr>
        <w:trPr>
          <w:tblHeader/>
        </w:trPr>
        <w:tc>
          <w:tcPr>
            <w:tcW w:type="dxa" w:w="13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PR-AUC</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 PR-AUC</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 PR-AUC</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386"/>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Reproducible?</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Governance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Claude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0.0623</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0.0661</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+0.0038</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0.0647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0.301</w:t>
            </w:r>
          </w:p>
        </w:tc>
        <w:tc>
          <w:tcPr>
            <w:tcW w:type="dxa" w:w="1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PASS</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Codex</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0.0711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0.1044*</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+0.0333</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0.0659</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18"/>
                <w:szCs w:val="18"/>
              </w:rPr>
              <w:t xml:space="preserve">1.000*</w:t>
            </w:r>
          </w:p>
        </w:tc>
        <w:tc>
          <w:tcPr>
            <w:tcW w:type="dxa" w:w="1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Partial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PASS</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Gemini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0.0711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18"/>
                <w:szCs w:val="18"/>
              </w:rPr>
              <w:t xml:space="preserve">0.0679†</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18"/>
                <w:szCs w:val="18"/>
              </w:rPr>
              <w:t xml:space="preserve">−0.0032</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0.0569</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0.257</w:t>
            </w:r>
          </w:p>
        </w:tc>
        <w:tc>
          <w:tcPr>
            <w:tcW w:type="dxa" w:w="1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Partial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PASS (min)</w:t>
            </w:r>
          </w:p>
        </w:tc>
      </w:tr>
    </w:tbl>
    <w:p>
      <w:pPr>
        <w:spacing w:after="60"/>
      </w:pPr>
      <w:r>
        <w:rPr>
          <w:rFonts w:ascii="Arial" w:cs="Arial" w:eastAsia="Arial" w:hAnsi="Arial"/>
          <w:i/>
          <w:iCs/>
          <w:color w:val="595959"/>
          <w:sz w:val="18"/>
          <w:szCs w:val="18"/>
        </w:rPr>
        <w:t xml:space="preserve">* Codex recall = 1.0 is degenerate: threshold = 0.25 flags all transactions as fraud.</w:t>
      </w:r>
    </w:p>
    <w:p>
      <w:pPr>
        <w:spacing w:after="200"/>
      </w:pPr>
      <w:r>
        <w:rPr>
          <w:rFonts w:ascii="Arial" w:cs="Arial" w:eastAsia="Arial" w:hAnsi="Arial"/>
          <w:i/>
          <w:iCs/>
          <w:color w:val="595959"/>
          <w:sz w:val="18"/>
          <w:szCs w:val="18"/>
        </w:rPr>
        <w:t xml:space="preserve">† Gemini improved PR-AUC (0.0679) is lower than baseline (0.0711); regression was not disclosed.</w:t>
      </w:r>
    </w:p>
    <w:p>
      <w:pPr>
        <w:pStyle w:val="Heading2"/>
        <w:spacing w:after="120" w:before="200"/>
      </w:pPr>
      <w:r>
        <w:rPr>
          <w:rFonts w:ascii="Arial" w:cs="Arial" w:eastAsia="Arial" w:hAnsi="Arial"/>
        </w:rPr>
        <w:t xml:space="preserve">4.3 Common Failure Modes</w:t>
      </w:r>
    </w:p>
    <w:p>
      <w:pPr>
        <w:spacing w:after="80" w:before="0"/>
        <w:jc w:val="left"/>
      </w:pPr>
      <w:r>
        <w:rPr>
          <w:rFonts w:ascii="Arial" w:cs="Arial" w:eastAsia="Arial" w:hAnsi="Arial"/>
          <w:b w:val="false"/>
          <w:bCs w:val="false"/>
          <w:i w:val="false"/>
          <w:iCs w:val="false"/>
          <w:color w:val="000000"/>
          <w:sz w:val="22"/>
          <w:szCs w:val="22"/>
        </w:rPr>
        <w:t xml:space="preserve">Three failure patterns were observed across multiple agents:</w:t>
      </w:r>
    </w:p>
    <w:p>
      <w:pPr>
        <w:pStyle w:val="ListParagraph"/>
        <w:numPr>
          <w:ilvl w:val="0"/>
          <w:numId w:val="2"/>
        </w:numPr>
        <w:spacing w:after="60"/>
      </w:pPr>
      <w:r>
        <w:rPr>
          <w:rFonts w:ascii="Arial" w:cs="Arial" w:eastAsia="Arial" w:hAnsi="Arial"/>
          <w:sz w:val="22"/>
          <w:szCs w:val="22"/>
        </w:rPr>
        <w:t xml:space="preserve">Threshold insensitivity: Codex and Gemini both used default thresholds without inspecting whether the resulting classifier was useful. ReAct-style agents that verify intermediate outputs (Yao et al., 2023) are better positioned to catch this.</w:t>
      </w:r>
    </w:p>
    <w:p>
      <w:pPr>
        <w:pStyle w:val="ListParagraph"/>
        <w:numPr>
          <w:ilvl w:val="0"/>
          <w:numId w:val="2"/>
        </w:numPr>
        <w:spacing w:after="60"/>
      </w:pPr>
      <w:r>
        <w:rPr>
          <w:rFonts w:ascii="Arial" w:cs="Arial" w:eastAsia="Arial" w:hAnsi="Arial"/>
          <w:sz w:val="22"/>
          <w:szCs w:val="22"/>
        </w:rPr>
        <w:t xml:space="preserve">Factual hallucination in EDA: Two agents incorrectly reported missing values in a dataset with zero missingness. This matches the grounding failures documented by Park et al. (2023) and highlights that statistical summaries require verification against computed artifacts.</w:t>
      </w:r>
    </w:p>
    <w:p>
      <w:pPr>
        <w:pStyle w:val="ListParagraph"/>
        <w:numPr>
          <w:ilvl w:val="0"/>
          <w:numId w:val="2"/>
        </w:numPr>
        <w:spacing w:after="60"/>
      </w:pPr>
      <w:r>
        <w:rPr>
          <w:rFonts w:ascii="Arial" w:cs="Arial" w:eastAsia="Arial" w:hAnsi="Arial"/>
          <w:sz w:val="22"/>
          <w:szCs w:val="22"/>
        </w:rPr>
        <w:t xml:space="preserve">Metric regression without disclosure: Gemini's improvement run produced a lower PR-AUC than its own baseline. This was not flagged. Reflexion-style self-evaluation (Shinn et al., 2023) could detect and surface such regressions automatically.</w:t>
      </w:r>
    </w:p>
    <w:p>
      <w:pPr>
        <w:pStyle w:val="Heading2"/>
        <w:spacing w:after="120" w:before="200"/>
      </w:pPr>
      <w:r>
        <w:rPr>
          <w:rFonts w:ascii="Arial" w:cs="Arial" w:eastAsia="Arial" w:hAnsi="Arial"/>
        </w:rPr>
        <w:t xml:space="preserve">4.4 Model Governance</w:t>
      </w:r>
    </w:p>
    <w:p>
      <w:pPr>
        <w:spacing w:after="80" w:before="0"/>
        <w:jc w:val="left"/>
      </w:pPr>
      <w:r>
        <w:rPr>
          <w:rFonts w:ascii="Arial" w:cs="Arial" w:eastAsia="Arial" w:hAnsi="Arial"/>
          <w:b w:val="false"/>
          <w:bCs w:val="false"/>
          <w:i w:val="false"/>
          <w:iCs w:val="false"/>
          <w:color w:val="000000"/>
          <w:sz w:val="22"/>
          <w:szCs w:val="22"/>
        </w:rPr>
        <w:t xml:space="preserve">All three agents passed model governance checks: one LogisticRegression baseline, three approved candidate models, validation-based selection, and at least two improvement methods. However, governance compliance does not imply practical value. Codex's governance-compliant model has recall = 1.0, and Gemini's improvement did not improve. Governance checks are necessary but not sufficient conditions for deployable ML.</w:t>
      </w:r>
    </w:p>
    <w:p>
      <w:pPr>
        <w:pStyle w:val="Heading1"/>
        <w:spacing w:after="120" w:before="360"/>
      </w:pPr>
      <w:r>
        <w:rPr>
          <w:rFonts w:ascii="Arial" w:cs="Arial" w:eastAsia="Arial" w:hAnsi="Arial"/>
        </w:rPr>
        <w:t xml:space="preserve">5. Reflection and Practitioner Playbook</w:t>
      </w:r>
    </w:p>
    <w:p>
      <w:pPr>
        <w:pStyle w:val="Heading2"/>
        <w:spacing w:after="120" w:before="200"/>
      </w:pPr>
      <w:r>
        <w:rPr>
          <w:rFonts w:ascii="Arial" w:cs="Arial" w:eastAsia="Arial" w:hAnsi="Arial"/>
        </w:rPr>
        <w:t xml:space="preserve">5.1 Key Findings</w:t>
      </w:r>
    </w:p>
    <w:p>
      <w:pPr>
        <w:spacing w:after="80" w:before="0"/>
        <w:jc w:val="left"/>
      </w:pPr>
      <w:r>
        <w:rPr>
          <w:rFonts w:ascii="Arial" w:cs="Arial" w:eastAsia="Arial" w:hAnsi="Arial"/>
          <w:b w:val="false"/>
          <w:bCs w:val="false"/>
          <w:i w:val="false"/>
          <w:iCs w:val="false"/>
          <w:color w:val="000000"/>
          <w:sz w:val="22"/>
          <w:szCs w:val="22"/>
        </w:rPr>
        <w:t xml:space="preserve">Four findings emerge from the literature and experiments combined:</w:t>
      </w:r>
    </w:p>
    <w:p>
      <w:pPr>
        <w:pStyle w:val="ListParagraph"/>
        <w:numPr>
          <w:ilvl w:val="0"/>
          <w:numId w:val="2"/>
        </w:numPr>
        <w:spacing w:after="60"/>
      </w:pPr>
      <w:r>
        <w:rPr>
          <w:rFonts w:ascii="Arial" w:cs="Arial" w:eastAsia="Arial" w:hAnsi="Arial"/>
          <w:sz w:val="22"/>
          <w:szCs w:val="22"/>
        </w:rPr>
        <w:t xml:space="preserve">Documentation quality is a leading indicator of reliability. Claude, which produced the most detailed notes and summaries, also produced the fewest factual errors and metric anomalies. Agents that narrate their reasoning (Wei et al., 2022) appear less prone to silently propagating mistakes.</w:t>
      </w:r>
    </w:p>
    <w:p>
      <w:pPr>
        <w:pStyle w:val="ListParagraph"/>
        <w:numPr>
          <w:ilvl w:val="0"/>
          <w:numId w:val="2"/>
        </w:numPr>
        <w:spacing w:after="60"/>
      </w:pPr>
      <w:r>
        <w:rPr>
          <w:rFonts w:ascii="Arial" w:cs="Arial" w:eastAsia="Arial" w:hAnsi="Arial"/>
          <w:sz w:val="22"/>
          <w:szCs w:val="22"/>
        </w:rPr>
        <w:t xml:space="preserve">Metric optimisation without constraint checking is dangerous. Maximising PR-AUC by lowering the decision threshold to 0.25 technically improves the metric while producing a completely unusable model. Benchmarks must include classifier behaviour checks alongside aggregate metrics.</w:t>
      </w:r>
    </w:p>
    <w:p>
      <w:pPr>
        <w:pStyle w:val="ListParagraph"/>
        <w:numPr>
          <w:ilvl w:val="0"/>
          <w:numId w:val="2"/>
        </w:numPr>
        <w:spacing w:after="60"/>
      </w:pPr>
      <w:r>
        <w:rPr>
          <w:rFonts w:ascii="Arial" w:cs="Arial" w:eastAsia="Arial" w:hAnsi="Arial"/>
          <w:sz w:val="22"/>
          <w:szCs w:val="22"/>
        </w:rPr>
        <w:t xml:space="preserve">Honest reporting of failure is a strength, not a weakness. Claude's disclosure that baseline ROC-AUC &lt; 0.5 and that the dataset has intentionally weak signal would be alarming to a naive reviewer but represents correct scientific practice. Agents that inflate results or silently accept regressions (Gemini) are harder to trust.</w:t>
      </w:r>
    </w:p>
    <w:p>
      <w:pPr>
        <w:pStyle w:val="ListParagraph"/>
        <w:numPr>
          <w:ilvl w:val="0"/>
          <w:numId w:val="2"/>
        </w:numPr>
        <w:spacing w:after="60"/>
      </w:pPr>
      <w:r>
        <w:rPr>
          <w:rFonts w:ascii="Arial" w:cs="Arial" w:eastAsia="Arial" w:hAnsi="Arial"/>
          <w:sz w:val="22"/>
          <w:szCs w:val="22"/>
        </w:rPr>
        <w:t xml:space="preserve">Inter-evaluator variance correlates with output quality. Gemini's scores varied by ±28 points across three evaluators, compared to ±6 for Claude. Sparse documentation forces evaluators to make subjective inferences, inflating variance. This has direct implications for reproducibility in AI-assisted science.</w:t>
      </w:r>
    </w:p>
    <w:p>
      <w:pPr>
        <w:pStyle w:val="Heading2"/>
        <w:spacing w:after="120" w:before="200"/>
      </w:pPr>
      <w:r>
        <w:rPr>
          <w:rFonts w:ascii="Arial" w:cs="Arial" w:eastAsia="Arial" w:hAnsi="Arial"/>
        </w:rPr>
        <w:t xml:space="preserve">5.2 Practitioner Playbook</w:t>
      </w:r>
    </w:p>
    <w:p>
      <w:pPr>
        <w:spacing w:after="80" w:before="0"/>
        <w:jc w:val="left"/>
      </w:pPr>
      <w:r>
        <w:rPr>
          <w:rFonts w:ascii="Arial" w:cs="Arial" w:eastAsia="Arial" w:hAnsi="Arial"/>
          <w:b w:val="false"/>
          <w:bCs w:val="false"/>
          <w:i w:val="false"/>
          <w:iCs w:val="false"/>
          <w:color w:val="000000"/>
          <w:sz w:val="22"/>
          <w:szCs w:val="22"/>
        </w:rPr>
        <w:t xml:space="preserve">The following workflow patterns are recommended when using agent tooling for data science:</w:t>
      </w:r>
    </w:p>
    <w:p>
      <w:pPr>
        <w:pStyle w:val="ListParagraph"/>
        <w:numPr>
          <w:ilvl w:val="0"/>
          <w:numId w:val="2"/>
        </w:numPr>
        <w:spacing w:after="60"/>
      </w:pPr>
      <w:r>
        <w:rPr>
          <w:rFonts w:ascii="Arial" w:cs="Arial" w:eastAsia="Arial" w:hAnsi="Arial"/>
          <w:sz w:val="22"/>
          <w:szCs w:val="22"/>
        </w:rPr>
        <w:t xml:space="preserve">Pre-define success criteria before prompting. Specify acceptance thresholds for all evaluation metrics, not just the primary metric. Include a check that recall at the chosen threshold does not exceed a plausible upper bound.</w:t>
      </w:r>
    </w:p>
    <w:p>
      <w:pPr>
        <w:pStyle w:val="ListParagraph"/>
        <w:numPr>
          <w:ilvl w:val="0"/>
          <w:numId w:val="2"/>
        </w:numPr>
        <w:spacing w:after="60"/>
      </w:pPr>
      <w:r>
        <w:rPr>
          <w:rFonts w:ascii="Arial" w:cs="Arial" w:eastAsia="Arial" w:hAnsi="Arial"/>
          <w:sz w:val="22"/>
          <w:szCs w:val="22"/>
        </w:rPr>
        <w:t xml:space="preserve">Require structured notes for every task. Instruct agents to write a notes.md file explaining each decision, anomaly, and limitation. This reduces factual hallucination and enables peer review.</w:t>
      </w:r>
    </w:p>
    <w:p>
      <w:pPr>
        <w:pStyle w:val="ListParagraph"/>
        <w:numPr>
          <w:ilvl w:val="0"/>
          <w:numId w:val="2"/>
        </w:numPr>
        <w:spacing w:after="60"/>
      </w:pPr>
      <w:r>
        <w:rPr>
          <w:rFonts w:ascii="Arial" w:cs="Arial" w:eastAsia="Arial" w:hAnsi="Arial"/>
          <w:sz w:val="22"/>
          <w:szCs w:val="22"/>
        </w:rPr>
        <w:t xml:space="preserve">Run at least two agents and cross-validate findings. No single agent consistently outperforms on all tasks. Codex's superior bug detection and Claude's superior documentation suggest a complementary workflow.</w:t>
      </w:r>
    </w:p>
    <w:p>
      <w:pPr>
        <w:pStyle w:val="ListParagraph"/>
        <w:numPr>
          <w:ilvl w:val="0"/>
          <w:numId w:val="2"/>
        </w:numPr>
        <w:spacing w:after="60"/>
      </w:pPr>
      <w:r>
        <w:rPr>
          <w:rFonts w:ascii="Arial" w:cs="Arial" w:eastAsia="Arial" w:hAnsi="Arial"/>
          <w:sz w:val="22"/>
          <w:szCs w:val="22"/>
        </w:rPr>
        <w:t xml:space="preserve">Audit all metrics files before accepting results. Verify that Precision, Recall, and F1 are non-zero at the intended threshold, and that the improved metric actually exceeds the baseline.</w:t>
      </w:r>
    </w:p>
    <w:p>
      <w:pPr>
        <w:pStyle w:val="ListParagraph"/>
        <w:numPr>
          <w:ilvl w:val="0"/>
          <w:numId w:val="2"/>
        </w:numPr>
        <w:spacing w:after="60"/>
      </w:pPr>
      <w:r>
        <w:rPr>
          <w:rFonts w:ascii="Arial" w:cs="Arial" w:eastAsia="Arial" w:hAnsi="Arial"/>
          <w:sz w:val="22"/>
          <w:szCs w:val="22"/>
        </w:rPr>
        <w:t xml:space="preserve">Lock random seeds and fix run IDs before starting. Template placeholders (e.g., YYYY-MM-DD) that are never substituted break traceability and reproducibility audits.</w:t>
      </w:r>
    </w:p>
    <w:p>
      <w:pPr>
        <w:pStyle w:val="Heading2"/>
        <w:spacing w:after="120" w:before="200"/>
      </w:pPr>
      <w:r>
        <w:rPr>
          <w:rFonts w:ascii="Arial" w:cs="Arial" w:eastAsia="Arial" w:hAnsi="Arial"/>
        </w:rPr>
        <w:t xml:space="preserve">5.3 Verification Checklist</w:t>
      </w:r>
    </w:p>
    <w:p>
      <w:pPr>
        <w:pStyle w:val="ListParagraph"/>
        <w:numPr>
          <w:ilvl w:val="0"/>
          <w:numId w:val="2"/>
        </w:numPr>
        <w:spacing w:after="60"/>
      </w:pPr>
      <w:r>
        <w:rPr>
          <w:rFonts w:ascii="Arial" w:cs="Arial" w:eastAsia="Arial" w:hAnsi="Arial"/>
          <w:sz w:val="22"/>
          <w:szCs w:val="22"/>
        </w:rPr>
        <w:t xml:space="preserve">Are all metrics non-trivial at the decision threshold? (Precision, Recall, F1 &gt; 0)</w:t>
      </w:r>
    </w:p>
    <w:p>
      <w:pPr>
        <w:pStyle w:val="ListParagraph"/>
        <w:numPr>
          <w:ilvl w:val="0"/>
          <w:numId w:val="2"/>
        </w:numPr>
        <w:spacing w:after="60"/>
      </w:pPr>
      <w:r>
        <w:rPr>
          <w:rFonts w:ascii="Arial" w:cs="Arial" w:eastAsia="Arial" w:hAnsi="Arial"/>
          <w:sz w:val="22"/>
          <w:szCs w:val="22"/>
        </w:rPr>
        <w:t xml:space="preserve">Does the improved model outperform the baseline on the primary metric?</w:t>
      </w:r>
    </w:p>
    <w:p>
      <w:pPr>
        <w:pStyle w:val="ListParagraph"/>
        <w:numPr>
          <w:ilvl w:val="0"/>
          <w:numId w:val="2"/>
        </w:numPr>
        <w:spacing w:after="60"/>
      </w:pPr>
      <w:r>
        <w:rPr>
          <w:rFonts w:ascii="Arial" w:cs="Arial" w:eastAsia="Arial" w:hAnsi="Arial"/>
          <w:sz w:val="22"/>
          <w:szCs w:val="22"/>
        </w:rPr>
        <w:t xml:space="preserve">Is the broken pipeline's primary metric clearly documented (e.g., PR-AUC = 1.0)?</w:t>
      </w:r>
    </w:p>
    <w:p>
      <w:pPr>
        <w:pStyle w:val="ListParagraph"/>
        <w:numPr>
          <w:ilvl w:val="0"/>
          <w:numId w:val="2"/>
        </w:numPr>
        <w:spacing w:after="60"/>
      </w:pPr>
      <w:r>
        <w:rPr>
          <w:rFonts w:ascii="Arial" w:cs="Arial" w:eastAsia="Arial" w:hAnsi="Arial"/>
          <w:sz w:val="22"/>
          <w:szCs w:val="22"/>
        </w:rPr>
        <w:t xml:space="preserve">Are preprocessing steps fit on training data only?</w:t>
      </w:r>
    </w:p>
    <w:p>
      <w:pPr>
        <w:pStyle w:val="ListParagraph"/>
        <w:numPr>
          <w:ilvl w:val="0"/>
          <w:numId w:val="2"/>
        </w:numPr>
        <w:spacing w:after="60"/>
      </w:pPr>
      <w:r>
        <w:rPr>
          <w:rFonts w:ascii="Arial" w:cs="Arial" w:eastAsia="Arial" w:hAnsi="Arial"/>
          <w:sz w:val="22"/>
          <w:szCs w:val="22"/>
        </w:rPr>
        <w:t xml:space="preserve">Are all candidate models from the approved pool?</w:t>
      </w:r>
    </w:p>
    <w:p>
      <w:pPr>
        <w:pStyle w:val="ListParagraph"/>
        <w:numPr>
          <w:ilvl w:val="0"/>
          <w:numId w:val="2"/>
        </w:numPr>
        <w:spacing w:after="60"/>
      </w:pPr>
      <w:r>
        <w:rPr>
          <w:rFonts w:ascii="Arial" w:cs="Arial" w:eastAsia="Arial" w:hAnsi="Arial"/>
          <w:sz w:val="22"/>
          <w:szCs w:val="22"/>
        </w:rPr>
        <w:t xml:space="preserve">Is the run ID substituted and the seed fixed?</w:t>
      </w:r>
    </w:p>
    <w:p>
      <w:pPr>
        <w:pStyle w:val="ListParagraph"/>
        <w:numPr>
          <w:ilvl w:val="0"/>
          <w:numId w:val="2"/>
        </w:numPr>
        <w:spacing w:after="60"/>
      </w:pPr>
      <w:r>
        <w:rPr>
          <w:rFonts w:ascii="Arial" w:cs="Arial" w:eastAsia="Arial" w:hAnsi="Arial"/>
          <w:sz w:val="22"/>
          <w:szCs w:val="22"/>
        </w:rPr>
        <w:t xml:space="preserve">Can the pipeline be rerun end-to-end from a single command?</w:t>
      </w:r>
    </w:p>
    <w:p>
      <w:pPr>
        <w:pStyle w:val="Heading2"/>
        <w:spacing w:after="120" w:before="200"/>
      </w:pPr>
      <w:r>
        <w:rPr>
          <w:rFonts w:ascii="Arial" w:cs="Arial" w:eastAsia="Arial" w:hAnsi="Arial"/>
        </w:rPr>
        <w:t xml:space="preserve">5.4 When Not to Use Agent Tooling</w:t>
      </w:r>
    </w:p>
    <w:p>
      <w:pPr>
        <w:spacing w:after="80" w:before="0"/>
        <w:jc w:val="left"/>
      </w:pPr>
      <w:r>
        <w:rPr>
          <w:rFonts w:ascii="Arial" w:cs="Arial" w:eastAsia="Arial" w:hAnsi="Arial"/>
          <w:b w:val="false"/>
          <w:bCs w:val="false"/>
          <w:i w:val="false"/>
          <w:iCs w:val="false"/>
          <w:color w:val="000000"/>
          <w:sz w:val="22"/>
          <w:szCs w:val="22"/>
        </w:rPr>
        <w:t xml:space="preserve">Agent tooling is less appropriate when: (1) statistical validity is non-negotiable and the cost of undetected leakage is high (e.g., live trading systems); (2) domain expertise is required to interpret ambiguous metrics (e.g., whether a recall = 1.0 result reflects genuine learning or threshold abuse); (3) the task requires sustained multi-day planning beyond a single context window; or (4) regulatory compliance mandates a fully audited, human-reviewed pipeline. In these scenarios, agent tooling should augment rather than replace human judgment.</w:t>
      </w:r>
    </w:p>
    <w:p>
      <w:pPr>
        <w:pStyle w:val="Heading2"/>
        <w:spacing w:after="120" w:before="200"/>
      </w:pPr>
      <w:r>
        <w:rPr>
          <w:rFonts w:ascii="Arial" w:cs="Arial" w:eastAsia="Arial" w:hAnsi="Arial"/>
        </w:rPr>
        <w:t xml:space="preserve">5.5 Limitations</w:t>
      </w:r>
    </w:p>
    <w:p>
      <w:pPr>
        <w:spacing w:after="80" w:before="0"/>
        <w:jc w:val="left"/>
      </w:pPr>
      <w:r>
        <w:rPr>
          <w:rFonts w:ascii="Arial" w:cs="Arial" w:eastAsia="Arial" w:hAnsi="Arial"/>
          <w:b w:val="false"/>
          <w:bCs w:val="false"/>
          <w:i w:val="false"/>
          <w:iCs w:val="false"/>
          <w:color w:val="000000"/>
          <w:sz w:val="22"/>
          <w:szCs w:val="22"/>
        </w:rPr>
        <w:t xml:space="preserve">This benchmark used a single dataset with intentionally weak signal. Results may differ on datasets with stronger feature-target correlation, where model improvement is more achievable and improvement methods are easier to evaluate. The benchmark also used single-agent runs; multi-agent frameworks (Wu et al., 2023; Hong et al., 2023) may yield different conclusions. Finally, agent versions and API settings may affect reproducibility of these results over time.</w:t>
      </w:r>
    </w:p>
    <w:p>
      <w:r>
        <w:br w:type="page"/>
      </w:r>
    </w:p>
    <w:p>
      <w:pPr>
        <w:pStyle w:val="Heading1"/>
        <w:spacing w:after="120" w:before="360"/>
      </w:pPr>
      <w:r>
        <w:rPr>
          <w:rFonts w:ascii="Arial" w:cs="Arial" w:eastAsia="Arial" w:hAnsi="Arial"/>
        </w:rPr>
        <w:t xml:space="preserve">Bibliography</w:t>
      </w:r>
    </w:p>
    <w:p>
      <w:pPr>
        <w:pBdr>
          <w:bottom w:val="single" w:color="2E75B6" w:sz="4" w:space="1"/>
        </w:pBdr>
        <w:spacing w:after="120"/>
      </w:pPr>
    </w:p>
    <w:p>
      <w:pPr>
        <w:spacing w:after="80"/>
        <w:ind w:left="560" w:hanging="560"/>
      </w:pPr>
      <w:r>
        <w:rPr>
          <w:rFonts w:ascii="Arial" w:cs="Arial" w:eastAsia="Arial" w:hAnsi="Arial"/>
          <w:sz w:val="20"/>
          <w:szCs w:val="20"/>
        </w:rPr>
        <w:t xml:space="preserve">Bommasani, R., Hudson, D.A., Adeli, E., et al. (2021). On the Opportunities and Risks of Foundation Models. arXiv preprint arXiv:2108.07258.</w:t>
      </w:r>
    </w:p>
    <w:p>
      <w:pPr>
        <w:spacing w:after="80"/>
        <w:ind w:left="560" w:hanging="560"/>
      </w:pPr>
      <w:r>
        <w:rPr>
          <w:rFonts w:ascii="Arial" w:cs="Arial" w:eastAsia="Arial" w:hAnsi="Arial"/>
          <w:sz w:val="20"/>
          <w:szCs w:val="20"/>
        </w:rPr>
        <w:t xml:space="preserve">Chen, M., Tworek, J., Jun, H., et al. (2021). Evaluating Large Language Models Trained on Code. arXiv preprint arXiv:2107.03374.</w:t>
      </w:r>
    </w:p>
    <w:p>
      <w:pPr>
        <w:spacing w:after="80"/>
        <w:ind w:left="560" w:hanging="560"/>
      </w:pPr>
      <w:r>
        <w:rPr>
          <w:rFonts w:ascii="Arial" w:cs="Arial" w:eastAsia="Arial" w:hAnsi="Arial"/>
          <w:sz w:val="20"/>
          <w:szCs w:val="20"/>
        </w:rPr>
        <w:t xml:space="preserve">Hong, S., Zheng, X., Chen, J., et al. (2023). MetaGPT: Meta Programming for A Multi-Agent Collaborative Framework. arXiv preprint arXiv:2308.00352.</w:t>
      </w:r>
    </w:p>
    <w:p>
      <w:pPr>
        <w:spacing w:after="80"/>
        <w:ind w:left="560" w:hanging="560"/>
      </w:pPr>
      <w:r>
        <w:rPr>
          <w:rFonts w:ascii="Arial" w:cs="Arial" w:eastAsia="Arial" w:hAnsi="Arial"/>
          <w:sz w:val="20"/>
          <w:szCs w:val="20"/>
        </w:rPr>
        <w:t xml:space="preserve">Jimenez, C.E., Yang, J., Wettig, A., Yao, S., Pei, K., Press, O., &amp; Narasimhan, K. (2024). SWE-bench: Can Language Models Resolve Real-World GitHub Issues? Proceedings of the International Conference on Learning Representations (ICLR).</w:t>
      </w:r>
    </w:p>
    <w:p>
      <w:pPr>
        <w:spacing w:after="80"/>
        <w:ind w:left="560" w:hanging="560"/>
      </w:pPr>
      <w:r>
        <w:rPr>
          <w:rFonts w:ascii="Arial" w:cs="Arial" w:eastAsia="Arial" w:hAnsi="Arial"/>
          <w:sz w:val="20"/>
          <w:szCs w:val="20"/>
        </w:rPr>
        <w:t xml:space="preserve">Li, Y., Choi, D., Chung, J., et al. (2022). Competition-Level Code Generation with AlphaCode. Science, 378(6624), 1092–1097.</w:t>
      </w:r>
    </w:p>
    <w:p>
      <w:pPr>
        <w:spacing w:after="80"/>
        <w:ind w:left="560" w:hanging="560"/>
      </w:pPr>
      <w:r>
        <w:rPr>
          <w:rFonts w:ascii="Arial" w:cs="Arial" w:eastAsia="Arial" w:hAnsi="Arial"/>
          <w:sz w:val="20"/>
          <w:szCs w:val="20"/>
        </w:rPr>
        <w:t xml:space="preserve">Liu, X., Yu, H., Zhang, H., et al. (2023). AgentBench: Evaluating LLMs as Agents. arXiv preprint arXiv:2308.03688.</w:t>
      </w:r>
    </w:p>
    <w:p>
      <w:pPr>
        <w:spacing w:after="80"/>
        <w:ind w:left="560" w:hanging="560"/>
      </w:pPr>
      <w:r>
        <w:rPr>
          <w:rFonts w:ascii="Arial" w:cs="Arial" w:eastAsia="Arial" w:hAnsi="Arial"/>
          <w:sz w:val="20"/>
          <w:szCs w:val="20"/>
        </w:rPr>
        <w:t xml:space="preserve">Park, J.S., O’Brien, J.C., Cai, C.J., Morris, M.R., Liang, P., &amp; Bernstein, M.S. (2023). Generative Agents: Interactive Simulacra of Human Behavior. Proceedings of UIST ’23. ACM.</w:t>
      </w:r>
    </w:p>
    <w:p>
      <w:pPr>
        <w:spacing w:after="80"/>
        <w:ind w:left="560" w:hanging="560"/>
      </w:pPr>
      <w:r>
        <w:rPr>
          <w:rFonts w:ascii="Arial" w:cs="Arial" w:eastAsia="Arial" w:hAnsi="Arial"/>
          <w:sz w:val="20"/>
          <w:szCs w:val="20"/>
        </w:rPr>
        <w:t xml:space="preserve">Schick, T., Dwivedi-Yu, J., Dessì, R., et al. (2023). Toolformer: Language Models Can Teach Themselves to Use Tools. Advances in Neural Information Processing Systems (NeurIPS), 36.</w:t>
      </w:r>
    </w:p>
    <w:p>
      <w:pPr>
        <w:spacing w:after="80"/>
        <w:ind w:left="560" w:hanging="560"/>
      </w:pPr>
      <w:r>
        <w:rPr>
          <w:rFonts w:ascii="Arial" w:cs="Arial" w:eastAsia="Arial" w:hAnsi="Arial"/>
          <w:sz w:val="20"/>
          <w:szCs w:val="20"/>
        </w:rPr>
        <w:t xml:space="preserve">Shinn, N., Cassano, F., Berman, E., Gopalan, A., Narasimhan, K., &amp; Yao, S. (2023). Reflexion: Language Agents with Verbal Reinforcement Learning. Advances in Neural Information Processing Systems (NeurIPS), 36.</w:t>
      </w:r>
    </w:p>
    <w:p>
      <w:pPr>
        <w:spacing w:after="80"/>
        <w:ind w:left="560" w:hanging="560"/>
      </w:pPr>
      <w:r>
        <w:rPr>
          <w:rFonts w:ascii="Arial" w:cs="Arial" w:eastAsia="Arial" w:hAnsi="Arial"/>
          <w:sz w:val="20"/>
          <w:szCs w:val="20"/>
        </w:rPr>
        <w:t xml:space="preserve">Wang, G., Xie, Y., Jiang, Y., et al. (2023). Voyager: An Open-Ended Embodied Agent with Large Language Models. arXiv preprint arXiv:2305.16291.</w:t>
      </w:r>
    </w:p>
    <w:p>
      <w:pPr>
        <w:spacing w:after="80"/>
        <w:ind w:left="560" w:hanging="560"/>
      </w:pPr>
      <w:r>
        <w:rPr>
          <w:rFonts w:ascii="Arial" w:cs="Arial" w:eastAsia="Arial" w:hAnsi="Arial"/>
          <w:sz w:val="20"/>
          <w:szCs w:val="20"/>
        </w:rPr>
        <w:t xml:space="preserve">Wei, J., Wang, X., Schuurmans, D., et al. (2022). Chain-of-Thought Prompting Elicits Reasoning in Large Language Models. Advances in Neural Information Processing Systems (NeurIPS), 35, 24824–24837.</w:t>
      </w:r>
    </w:p>
    <w:p>
      <w:pPr>
        <w:spacing w:after="80"/>
        <w:ind w:left="560" w:hanging="560"/>
      </w:pPr>
      <w:r>
        <w:rPr>
          <w:rFonts w:ascii="Arial" w:cs="Arial" w:eastAsia="Arial" w:hAnsi="Arial"/>
          <w:sz w:val="20"/>
          <w:szCs w:val="20"/>
        </w:rPr>
        <w:t xml:space="preserve">Wu, Q., Bansal, G., Zhang, J., et al. (2023). AutoGen: Enabling Next-Gen LLM Applications via Multi-Agent Conversation. arXiv preprint arXiv:2308.08155.</w:t>
      </w:r>
    </w:p>
    <w:p>
      <w:pPr>
        <w:spacing w:after="80"/>
        <w:ind w:left="560" w:hanging="560"/>
      </w:pPr>
      <w:r>
        <w:rPr>
          <w:rFonts w:ascii="Arial" w:cs="Arial" w:eastAsia="Arial" w:hAnsi="Arial"/>
          <w:sz w:val="20"/>
          <w:szCs w:val="20"/>
        </w:rPr>
        <w:t xml:space="preserve">Yao, S., Zhao, J., Yu, D., et al. (2023). ReAct: Synergizing Reasoning and Acting in Language Models. Proceedings of the International Conference on Learning Representations (ICLR).</w:t>
      </w:r>
    </w:p>
    <w:p>
      <w:r>
        <w:br w:type="page"/>
      </w:r>
    </w:p>
    <w:p>
      <w:pPr>
        <w:pStyle w:val="Heading1"/>
        <w:spacing w:after="120" w:before="360"/>
      </w:pPr>
      <w:r>
        <w:rPr>
          <w:rFonts w:ascii="Arial" w:cs="Arial" w:eastAsia="Arial" w:hAnsi="Arial"/>
        </w:rPr>
        <w:t xml:space="preserve">Appendix A: Benchmark Scoring Rubric</w:t>
      </w:r>
    </w:p>
    <w:p>
      <w:pPr>
        <w:pBdr>
          <w:bottom w:val="single" w:color="2E75B6" w:sz="4" w:space="1"/>
        </w:pBdr>
        <w:spacing w:after="120"/>
      </w:pPr>
    </w:p>
    <w:p>
      <w:pPr>
        <w:spacing w:after="80" w:before="0"/>
        <w:jc w:val="left"/>
      </w:pPr>
      <w:r>
        <w:rPr>
          <w:rFonts w:ascii="Arial" w:cs="Arial" w:eastAsia="Arial" w:hAnsi="Arial"/>
          <w:b w:val="false"/>
          <w:bCs w:val="false"/>
          <w:i w:val="false"/>
          <w:iCs w:val="false"/>
          <w:color w:val="000000"/>
          <w:sz w:val="22"/>
          <w:szCs w:val="22"/>
        </w:rPr>
        <w:t xml:space="preserve">Each task was scored on five dimensions (0–4). Weighted score = Avg × Task Weight. Maximum total = 400.</w:t>
      </w:r>
    </w:p>
    <w:p>
      <w:pPr>
        <w:spacing w:after="60" w:before="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93"/>
        <w:gridCol w:w="2193"/>
      </w:tblGrid>
      <w:tr>
        <w:trPr>
          <w:tblHeader/>
        </w:trPr>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93"/>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 Low (0-1)</w:t>
            </w:r>
          </w:p>
        </w:tc>
        <w:tc>
          <w:tcPr>
            <w:tcW w:type="dxa" w:w="2193"/>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 High (3-4)</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Correctness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Runs, satisfies spec, outputs complete</w:t>
            </w:r>
          </w:p>
        </w:tc>
        <w:tc>
          <w:tcPr>
            <w:tcW w:type="dxa" w:w="219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Failed/absent or weak</w:t>
            </w:r>
          </w:p>
        </w:tc>
        <w:tc>
          <w:tcPr>
            <w:tcW w:type="dxa" w:w="219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Meets or exceeds spec</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Statistical Validity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 splits, no leakage, metric discipline</w:t>
            </w:r>
          </w:p>
        </w:tc>
        <w:tc>
          <w:tcPr>
            <w:tcW w:type="dxa" w:w="2193"/>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Leakage present or metrics incorrect</w:t>
            </w:r>
          </w:p>
        </w:tc>
        <w:tc>
          <w:tcPr>
            <w:tcW w:type="dxa" w:w="2193"/>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 pipeline, results verifiable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Reproducibility</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Commands, seeds, requirements complete</w:t>
            </w:r>
          </w:p>
        </w:tc>
        <w:tc>
          <w:tcPr>
            <w:tcW w:type="dxa" w:w="219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Cannot be reproduced</w:t>
            </w:r>
          </w:p>
        </w:tc>
        <w:tc>
          <w:tcPr>
            <w:tcW w:type="dxa" w:w="219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Third party can rerun end-to-end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Output Quality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clarity, plot quality, documentation</w:t>
            </w:r>
          </w:p>
        </w:tc>
        <w:tc>
          <w:tcPr>
            <w:tcW w:type="dxa" w:w="2193"/>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Absent or generic</w:t>
            </w:r>
          </w:p>
        </w:tc>
        <w:tc>
          <w:tcPr>
            <w:tcW w:type="dxa" w:w="2193"/>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Detailed, accurate, interpretable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Efficiency</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Iterations and time to acceptable output</w:t>
            </w:r>
          </w:p>
        </w:tc>
        <w:tc>
          <w:tcPr>
            <w:tcW w:type="dxa" w:w="219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Many iterations required</w:t>
            </w:r>
          </w:p>
        </w:tc>
        <w:tc>
          <w:tcPr>
            <w:tcW w:type="dxa" w:w="219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 single-pass or minimal iteration</w:t>
            </w:r>
          </w:p>
        </w:tc>
      </w:tr>
    </w:tbl>
    <w:p>
      <w:pPr>
        <w:spacing w:after="60" w:before="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386"/>
        <w:gridCol w:w="1000"/>
        <w:gridCol w:w="1000"/>
        <w:gridCol w:w="1000"/>
        <w:gridCol w:w="1000"/>
        <w:gridCol w:w="1000"/>
        <w:gridCol w:w="1000"/>
      </w:tblGrid>
      <w:tr>
        <w:trPr>
          <w:tblHeader/>
        </w:trPr>
        <w:tc>
          <w:tcPr>
            <w:tcW w:type="dxa" w:w="3386"/>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Raw</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Codex</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Gemini</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 Data Audit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Claude</w:t>
            </w:r>
          </w:p>
        </w:tc>
      </w:tr>
      <w:tr>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 EDA</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Claude</w:t>
            </w:r>
          </w:p>
        </w:tc>
      </w:tr>
      <w:tr>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 Baseline Model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77.3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Claude</w:t>
            </w:r>
          </w:p>
        </w:tc>
      </w:tr>
      <w:tr>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 Model Improvement</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69.3</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57.3</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Claude</w:t>
            </w:r>
          </w:p>
        </w:tc>
      </w:tr>
      <w:tr>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 Bug/Leakage Debug</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78.7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Claude</w:t>
            </w:r>
          </w:p>
        </w:tc>
      </w:tr>
      <w:tr>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 Reproducibility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46.0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39.0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Claude</w:t>
            </w:r>
          </w:p>
        </w:tc>
      </w:tr>
      <w:tr>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100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400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384.7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344.7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291.7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Claude</w:t>
            </w:r>
          </w:p>
        </w:tc>
      </w:tr>
    </w:tbl>
    <w:p>
      <w:r>
        <w:br w:type="page"/>
      </w:r>
    </w:p>
    <w:p>
      <w:pPr>
        <w:pStyle w:val="Heading1"/>
        <w:spacing w:after="120" w:before="360"/>
      </w:pPr>
      <w:r>
        <w:rPr>
          <w:rFonts w:ascii="Arial" w:cs="Arial" w:eastAsia="Arial" w:hAnsi="Arial"/>
        </w:rPr>
        <w:t xml:space="preserve">Appendix B: Per-Agent Detailed Dimension Scores (Averaged Across 3 Evaluators)</w:t>
      </w:r>
    </w:p>
    <w:p>
      <w:pPr>
        <w:pBdr>
          <w:bottom w:val="single" w:color="2E75B6" w:sz="4" w:space="1"/>
        </w:pBdr>
        <w:spacing w:after="120"/>
      </w:pPr>
    </w:p>
    <w:p>
      <w:pPr>
        <w:spacing w:after="80" w:before="120"/>
        <w:jc w:val="left"/>
      </w:pPr>
      <w:r>
        <w:rPr>
          <w:rFonts w:ascii="Arial" w:cs="Arial" w:eastAsia="Arial" w:hAnsi="Arial"/>
          <w:b/>
          <w:bCs/>
          <w:i w:val="false"/>
          <w:iCs w:val="false"/>
          <w:color w:val="1F4E79"/>
          <w:sz w:val="24"/>
          <w:szCs w:val="24"/>
        </w:rPr>
        <w:t xml:space="preserve">Claude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086"/>
        <w:gridCol w:w="1000"/>
      </w:tblGrid>
      <w:tr>
        <w:trPr>
          <w:tblHeader/>
        </w:trP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Correct.</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Stat.Val.</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Reprod.</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Out.Qual.</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Effic.</w:t>
            </w:r>
          </w:p>
        </w:tc>
        <w:tc>
          <w:tcPr>
            <w:tcW w:type="dxa" w:w="1086"/>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W.Score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A</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B</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3.87</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C</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77.3</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D</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3.93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78.7</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F</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3.87</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384.7</w:t>
            </w:r>
          </w:p>
        </w:tc>
      </w:tr>
    </w:tbl>
    <w:p>
      <w:pPr>
        <w:spacing w:after="120"/>
      </w:pPr>
    </w:p>
    <w:p>
      <w:pPr>
        <w:spacing w:after="80" w:before="120"/>
        <w:jc w:val="left"/>
      </w:pPr>
      <w:r>
        <w:rPr>
          <w:rFonts w:ascii="Arial" w:cs="Arial" w:eastAsia="Arial" w:hAnsi="Arial"/>
          <w:b/>
          <w:bCs/>
          <w:i w:val="false"/>
          <w:iCs w:val="false"/>
          <w:color w:val="2E75B6"/>
          <w:sz w:val="24"/>
          <w:szCs w:val="24"/>
        </w:rPr>
        <w:t xml:space="preserve">Codex</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086"/>
        <w:gridCol w:w="1000"/>
      </w:tblGrid>
      <w:tr>
        <w:trPr>
          <w:tblHeader/>
        </w:trP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Correct.</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Stat.Val.</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Reprod.</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Out.Qual.</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Effic.</w:t>
            </w:r>
          </w:p>
        </w:tc>
        <w:tc>
          <w:tcPr>
            <w:tcW w:type="dxa" w:w="1086"/>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W.Score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A</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34.7</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B</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C</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70.7</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D</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3.47</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69.3</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76.0</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F</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3.07</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46.0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344.7</w:t>
            </w:r>
          </w:p>
        </w:tc>
      </w:tr>
    </w:tbl>
    <w:p>
      <w:pPr>
        <w:spacing w:after="120"/>
      </w:pPr>
    </w:p>
    <w:p>
      <w:pPr>
        <w:spacing w:after="80" w:before="120"/>
        <w:jc w:val="left"/>
      </w:pPr>
      <w:r>
        <w:rPr>
          <w:rFonts w:ascii="Arial" w:cs="Arial" w:eastAsia="Arial" w:hAnsi="Arial"/>
          <w:b/>
          <w:bCs/>
          <w:i w:val="false"/>
          <w:iCs w:val="false"/>
          <w:color w:val="595959"/>
          <w:sz w:val="24"/>
          <w:szCs w:val="24"/>
        </w:rPr>
        <w:t xml:space="preserve">Gemini CLI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086"/>
        <w:gridCol w:w="1000"/>
      </w:tblGrid>
      <w:tr>
        <w:trPr>
          <w:tblHeader/>
        </w:trP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Correct.</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Stat.Val.</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Reprod.</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Out.Qual.</w:t>
            </w:r>
          </w:p>
        </w:tc>
        <w:tc>
          <w:tcPr>
            <w:tcW w:type="dxa" w:w="1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Effic.</w:t>
            </w:r>
          </w:p>
        </w:tc>
        <w:tc>
          <w:tcPr>
            <w:tcW w:type="dxa" w:w="1086"/>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W.Score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A</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32.0</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B</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C</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62.7</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D</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2.87</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57.3</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3.67</w:t>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58.7</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F</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1.67</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w:t>
            </w:r>
          </w:p>
        </w:tc>
        <w:tc>
          <w:tcPr>
            <w:tcW w:type="dxa" w:w="10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39.0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0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291.7</w:t>
            </w:r>
          </w:p>
        </w:tc>
      </w:tr>
    </w:tbl>
    <w:p>
      <w:r>
        <w:br w:type="page"/>
      </w:r>
    </w:p>
    <w:p>
      <w:pPr>
        <w:pStyle w:val="Heading1"/>
        <w:spacing w:after="120" w:before="360"/>
      </w:pPr>
      <w:r>
        <w:rPr>
          <w:rFonts w:ascii="Arial" w:cs="Arial" w:eastAsia="Arial" w:hAnsi="Arial"/>
        </w:rPr>
        <w:t xml:space="preserve">Appendix C: Model Governance Checklist</w:t>
      </w:r>
    </w:p>
    <w:p>
      <w:pPr>
        <w:pBdr>
          <w:bottom w:val="single" w:color="2E75B6" w:sz="4" w:space="1"/>
        </w:pBdr>
        <w:spacing w:after="120"/>
      </w:pP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186"/>
        <w:gridCol w:w="1200"/>
        <w:gridCol w:w="1200"/>
        <w:gridCol w:w="1200"/>
        <w:gridCol w:w="1200"/>
        <w:gridCol w:w="1200"/>
      </w:tblGrid>
      <w:tr>
        <w:trPr>
          <w:tblHeader/>
        </w:trPr>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 type</w:t>
            </w:r>
          </w:p>
        </w:tc>
        <w:tc>
          <w:tcPr>
            <w:tcW w:type="dxa" w:w="1186"/>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Candidates tested</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pool?</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Methods count</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Methods</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Final model</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Pass/Fail</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Claude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LogisticRegression</w:t>
            </w:r>
          </w:p>
        </w:tc>
        <w:tc>
          <w:tcPr>
            <w:tcW w:type="dxa" w:w="1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 + HP tuning + threshold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LogisticRegression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PASS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Codex</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LogisticRegression</w:t>
            </w:r>
          </w:p>
        </w:tc>
        <w:tc>
          <w:tcPr>
            <w:tcW w:type="dxa" w:w="1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Yes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 + FE + HP + threshold</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RF (shallow)</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PASS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Gemini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LogisticRegression</w:t>
            </w:r>
          </w:p>
        </w:tc>
        <w:tc>
          <w:tcPr>
            <w:tcW w:type="dxa" w:w="1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 change + threshold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RandomForest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PASS (min)</w:t>
            </w:r>
          </w:p>
        </w:tc>
      </w:tr>
    </w:tbl>
    <w:p>
      <w:r>
        <w:br w:type="page"/>
      </w:r>
    </w:p>
    <w:p>
      <w:pPr>
        <w:pStyle w:val="Heading1"/>
        <w:spacing w:after="120" w:before="360"/>
      </w:pPr>
      <w:r>
        <w:rPr>
          <w:rFonts w:ascii="Arial" w:cs="Arial" w:eastAsia="Arial" w:hAnsi="Arial"/>
        </w:rPr>
        <w:t xml:space="preserve">Appendix D: Team Contributions</w:t>
      </w:r>
    </w:p>
    <w:p>
      <w:pPr>
        <w:pBdr>
          <w:bottom w:val="single" w:color="2E75B6" w:sz="4" w:space="1"/>
        </w:pBdr>
        <w:spacing w:after="120"/>
      </w:pP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3186"/>
        <w:gridCol w:w="5000"/>
      </w:tblGrid>
      <w:tr>
        <w:trPr>
          <w:tblHeader/>
        </w:trPr>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3186"/>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5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Contributions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Member 1</w:t>
            </w:r>
          </w:p>
        </w:tc>
        <w:tc>
          <w:tcPr>
            <w:tcW w:type="dxa" w:w="3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Benchmark Design &amp; Claude Run</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Authored benchmark spec (v2), conducted Claude agent run, evaluated and scored all tasks</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Member 2</w:t>
            </w:r>
          </w:p>
        </w:tc>
        <w:tc>
          <w:tcPr>
            <w:tcW w:type="dxa" w:w="3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Codex Run &amp; Task E Analysis</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Conducted Codex agent run, led comparative analysis for Task E (bug debugging), co-authored Section 4</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Member 3</w:t>
            </w:r>
          </w:p>
        </w:tc>
        <w:tc>
          <w:tcPr>
            <w:tcW w:type="dxa" w:w="3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Gemini Run &amp; Scoring (v2)</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Conducted Gemini CLI run, completed scoring template v2 (Stephen), contributed to Section 5 playbook</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Member 4</w:t>
            </w:r>
          </w:p>
        </w:tc>
        <w:tc>
          <w:tcPr>
            <w:tcW w:type="dxa" w:w="3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Scoring (v3) &amp; Literature Review</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Completed scoring template v3 (Chiying), authored Section 2 literature review, compiled bibliography</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members</w:t>
            </w:r>
          </w:p>
        </w:tc>
        <w:tc>
          <w:tcPr>
            <w:tcW w:type="dxa" w:w="3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Final consolidation &amp; editing</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Averaged three scoring versions, reviewed and edited the full report for coherence and accuracy</w:t>
            </w:r>
          </w:p>
        </w:tc>
      </w:tr>
    </w:tbl>
    <w:p>
      <w:pPr>
        <w:spacing w:after="120"/>
      </w:pPr>
      <w:r>
        <w:rPr>
          <w:rFonts w:ascii="Arial" w:cs="Arial" w:eastAsia="Arial" w:hAnsi="Arial"/>
          <w:i/>
          <w:iCs/>
          <w:color w:val="595959"/>
          <w:sz w:val="18"/>
          <w:szCs w:val="18"/>
        </w:rPr>
        <w:t xml:space="preserve">Note: names have been replaced with Member 1–4 for anonymous submission. Full names and student numbers are available to the module team on request.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595959"/>
        <w:sz w:val="18"/>
        <w:szCs w:val="18"/>
      </w:rPr>
      <w:t xml:space="preserve">MSIN0097 Predictive Analytics — Group Coursework 2025–26</w:t>
    </w:r>
    <w:r>
      <w:rPr>
        <w:rFonts w:ascii="Arial" w:cs="Arial" w:eastAsia="Arial" w:hAnsi="Arial"/>
        <w:color w:val="595959"/>
        <w:sz w:val="18"/>
        <w:szCs w:val="18"/>
      </w:rPr>
      <w:t xml:space="preserve">		[Anonymous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2026-03-13T17:45:05.313Z</dcterms:created>
  <dcterms:modified xsi:type="dcterms:W3CDTF">2026-03-13T17:45:05.314Z</dcterms:modified>
</cp:coreProperties>
</file>

<file path=docProps/custom.xml><?xml version="1.0" encoding="utf-8"?>
<Properties xmlns="http://schemas.openxmlformats.org/officeDocument/2006/custom-properties" xmlns:vt="http://schemas.openxmlformats.org/officeDocument/2006/docPropsVTypes"/>
</file>