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0DF9" w14:textId="128D0ABB" w:rsidR="008961F4" w:rsidRPr="008961F4" w:rsidRDefault="008961F4" w:rsidP="008961F4">
      <w:pPr>
        <w:rPr>
          <w:sz w:val="28"/>
          <w:szCs w:val="28"/>
          <w:lang w:val="en-US"/>
        </w:rPr>
      </w:pPr>
      <w:r w:rsidRPr="008961F4">
        <w:rPr>
          <w:sz w:val="28"/>
          <w:szCs w:val="28"/>
          <w:lang w:val="en-US"/>
        </w:rPr>
        <w:t>Let’s walk through the STC Leadership Dashboard for the Autoscuola ERP 2025 project, focusing on our status for Week 29.</w:t>
      </w:r>
    </w:p>
    <w:p w14:paraId="0A11F668" w14:textId="77777777" w:rsidR="008961F4" w:rsidRPr="008961F4" w:rsidRDefault="008961F4" w:rsidP="008961F4">
      <w:pPr>
        <w:rPr>
          <w:sz w:val="28"/>
          <w:szCs w:val="28"/>
          <w:lang w:val="en-US"/>
        </w:rPr>
      </w:pPr>
      <w:r w:rsidRPr="008961F4">
        <w:rPr>
          <w:sz w:val="28"/>
          <w:szCs w:val="28"/>
          <w:lang w:val="en-US"/>
        </w:rPr>
        <w:t xml:space="preserve">Starting at the top left with our </w:t>
      </w:r>
      <w:r w:rsidRPr="008961F4">
        <w:rPr>
          <w:b/>
          <w:bCs/>
          <w:sz w:val="28"/>
          <w:szCs w:val="28"/>
          <w:lang w:val="en-US"/>
        </w:rPr>
        <w:t>SPI (Schedule Performance Index)</w:t>
      </w:r>
      <w:r w:rsidRPr="008961F4">
        <w:rPr>
          <w:sz w:val="28"/>
          <w:szCs w:val="28"/>
          <w:lang w:val="en-US"/>
        </w:rPr>
        <w:t xml:space="preserve">, we are currently looking at a value of </w:t>
      </w:r>
      <w:r w:rsidRPr="008961F4">
        <w:rPr>
          <w:b/>
          <w:bCs/>
          <w:sz w:val="28"/>
          <w:szCs w:val="28"/>
          <w:lang w:val="en-US"/>
        </w:rPr>
        <w:t>0.85</w:t>
      </w:r>
      <w:r w:rsidRPr="008961F4">
        <w:rPr>
          <w:sz w:val="28"/>
          <w:szCs w:val="28"/>
          <w:lang w:val="en-US"/>
        </w:rPr>
        <w:t xml:space="preserve">. In business terms, this is our "speedometer": it tells us that for every hour of work we planned to finish by this date, we have only actually completed about 51 minutes. Technically, this is the ratio of Earned Value to Planned Value. While we are currently </w:t>
      </w:r>
      <w:r w:rsidRPr="008961F4">
        <w:rPr>
          <w:b/>
          <w:bCs/>
          <w:sz w:val="28"/>
          <w:szCs w:val="28"/>
          <w:lang w:val="en-US"/>
        </w:rPr>
        <w:t>0.15 behind our target</w:t>
      </w:r>
      <w:r w:rsidRPr="008961F4">
        <w:rPr>
          <w:sz w:val="28"/>
          <w:szCs w:val="28"/>
          <w:lang w:val="en-US"/>
        </w:rPr>
        <w:t>, the recovery trend you see below shows we started much lower and are steadily regaining momentum.</w:t>
      </w:r>
    </w:p>
    <w:p w14:paraId="6E26AB4D" w14:textId="77777777" w:rsidR="008961F4" w:rsidRPr="008961F4" w:rsidRDefault="008961F4" w:rsidP="008961F4">
      <w:pPr>
        <w:rPr>
          <w:sz w:val="28"/>
          <w:szCs w:val="28"/>
          <w:lang w:val="en-US"/>
        </w:rPr>
      </w:pPr>
      <w:r w:rsidRPr="008961F4">
        <w:rPr>
          <w:sz w:val="28"/>
          <w:szCs w:val="28"/>
          <w:lang w:val="en-US"/>
        </w:rPr>
        <w:t xml:space="preserve">Moving to the right, our </w:t>
      </w:r>
      <w:r w:rsidRPr="008961F4">
        <w:rPr>
          <w:b/>
          <w:bCs/>
          <w:sz w:val="28"/>
          <w:szCs w:val="28"/>
          <w:lang w:val="en-US"/>
        </w:rPr>
        <w:t>Defect Health</w:t>
      </w:r>
      <w:r w:rsidRPr="008961F4">
        <w:rPr>
          <w:sz w:val="28"/>
          <w:szCs w:val="28"/>
          <w:lang w:val="en-US"/>
        </w:rPr>
        <w:t xml:space="preserve"> shows a total of 19 bugs found during UAT. From a business perspective, this represents our "stability gate." We have </w:t>
      </w:r>
      <w:r w:rsidRPr="008961F4">
        <w:rPr>
          <w:b/>
          <w:bCs/>
          <w:sz w:val="28"/>
          <w:szCs w:val="28"/>
          <w:lang w:val="en-US"/>
        </w:rPr>
        <w:t>2 Critical, 5 High, and 12 Medium</w:t>
      </w:r>
      <w:r w:rsidRPr="008961F4">
        <w:rPr>
          <w:sz w:val="28"/>
          <w:szCs w:val="28"/>
          <w:lang w:val="en-US"/>
        </w:rPr>
        <w:t xml:space="preserve"> defects. These are manually logged during testing cycles to ensure the software is safe for release.</w:t>
      </w:r>
    </w:p>
    <w:p w14:paraId="5C8699AA" w14:textId="77777777" w:rsidR="008961F4" w:rsidRPr="008961F4" w:rsidRDefault="008961F4" w:rsidP="008961F4">
      <w:pPr>
        <w:rPr>
          <w:sz w:val="28"/>
          <w:szCs w:val="28"/>
          <w:lang w:val="en-US"/>
        </w:rPr>
      </w:pPr>
      <w:r w:rsidRPr="008961F4">
        <w:rPr>
          <w:sz w:val="28"/>
          <w:szCs w:val="28"/>
          <w:lang w:val="en-US"/>
        </w:rPr>
        <w:t xml:space="preserve">Next, the </w:t>
      </w:r>
      <w:r w:rsidRPr="008961F4">
        <w:rPr>
          <w:b/>
          <w:bCs/>
          <w:sz w:val="28"/>
          <w:szCs w:val="28"/>
          <w:lang w:val="en-US"/>
        </w:rPr>
        <w:t>Handover Lag</w:t>
      </w:r>
      <w:r w:rsidRPr="008961F4">
        <w:rPr>
          <w:sz w:val="28"/>
          <w:szCs w:val="28"/>
          <w:lang w:val="en-US"/>
        </w:rPr>
        <w:t xml:space="preserve"> is sitting at </w:t>
      </w:r>
      <w:r w:rsidRPr="008961F4">
        <w:rPr>
          <w:b/>
          <w:bCs/>
          <w:sz w:val="28"/>
          <w:szCs w:val="28"/>
          <w:lang w:val="en-US"/>
        </w:rPr>
        <w:t>4.1 Hours</w:t>
      </w:r>
      <w:r w:rsidRPr="008961F4">
        <w:rPr>
          <w:sz w:val="28"/>
          <w:szCs w:val="28"/>
          <w:lang w:val="en-US"/>
        </w:rPr>
        <w:t xml:space="preserve">. This is a critical metric for our internal efficiency, measuring the "idle time" between when a developer finishes a task and when it is picked up for testing. Technically, it’s the average timestamp difference between "Done" and "In Testing" statuses. We are slightly above our </w:t>
      </w:r>
      <w:r w:rsidRPr="008961F4">
        <w:rPr>
          <w:b/>
          <w:bCs/>
          <w:sz w:val="28"/>
          <w:szCs w:val="28"/>
          <w:lang w:val="en-US"/>
        </w:rPr>
        <w:t>4.0-hour target</w:t>
      </w:r>
      <w:r w:rsidRPr="008961F4">
        <w:rPr>
          <w:sz w:val="28"/>
          <w:szCs w:val="28"/>
          <w:lang w:val="en-US"/>
        </w:rPr>
        <w:t>, which acts as a yellow flag for potential bottlenecks in our workflow.</w:t>
      </w:r>
    </w:p>
    <w:p w14:paraId="32C1EFCB" w14:textId="77777777" w:rsidR="008961F4" w:rsidRPr="008961F4" w:rsidRDefault="008961F4" w:rsidP="008961F4">
      <w:pPr>
        <w:rPr>
          <w:sz w:val="28"/>
          <w:szCs w:val="28"/>
          <w:lang w:val="en-US"/>
        </w:rPr>
      </w:pPr>
      <w:r w:rsidRPr="008961F4">
        <w:rPr>
          <w:sz w:val="28"/>
          <w:szCs w:val="28"/>
          <w:lang w:val="en-US"/>
        </w:rPr>
        <w:t xml:space="preserve">Finally, on the top right, we have a </w:t>
      </w:r>
      <w:r w:rsidRPr="008961F4">
        <w:rPr>
          <w:b/>
          <w:bCs/>
          <w:sz w:val="28"/>
          <w:szCs w:val="28"/>
          <w:lang w:val="en-US"/>
        </w:rPr>
        <w:t>Sprint Velocity of 79%</w:t>
      </w:r>
      <w:r w:rsidRPr="008961F4">
        <w:rPr>
          <w:sz w:val="28"/>
          <w:szCs w:val="28"/>
          <w:lang w:val="en-US"/>
        </w:rPr>
        <w:t xml:space="preserve">. For the business, this indicates our "reliability." Technically, it is the percentage of Story Points completed versus those committed at the start of the sprint. A 79% score suggests a </w:t>
      </w:r>
      <w:r w:rsidRPr="008961F4">
        <w:rPr>
          <w:b/>
          <w:bCs/>
          <w:sz w:val="28"/>
          <w:szCs w:val="28"/>
          <w:lang w:val="en-US"/>
        </w:rPr>
        <w:t>Capacity Risk</w:t>
      </w:r>
      <w:r w:rsidRPr="008961F4">
        <w:rPr>
          <w:sz w:val="28"/>
          <w:szCs w:val="28"/>
          <w:lang w:val="en-US"/>
        </w:rPr>
        <w:t>, meaning we are over-promising what we can actually deliver in a two-week window.</w:t>
      </w:r>
    </w:p>
    <w:p w14:paraId="5518FAD6" w14:textId="77777777" w:rsidR="008961F4" w:rsidRPr="008961F4" w:rsidRDefault="008961F4" w:rsidP="008961F4">
      <w:pPr>
        <w:rPr>
          <w:sz w:val="28"/>
          <w:szCs w:val="28"/>
        </w:rPr>
      </w:pPr>
      <w:r w:rsidRPr="008961F4">
        <w:rPr>
          <w:sz w:val="28"/>
          <w:szCs w:val="28"/>
        </w:rPr>
        <w:pict w14:anchorId="604BD256">
          <v:rect id="_x0000_i1094" style="width:0;height:1.5pt" o:hralign="center" o:hrstd="t" o:hr="t" fillcolor="#a0a0a0" stroked="f"/>
        </w:pict>
      </w:r>
    </w:p>
    <w:p w14:paraId="3A5BD782" w14:textId="77777777" w:rsidR="008961F4" w:rsidRPr="008961F4" w:rsidRDefault="008961F4" w:rsidP="008961F4">
      <w:pPr>
        <w:rPr>
          <w:sz w:val="28"/>
          <w:szCs w:val="28"/>
          <w:lang w:val="en-US"/>
        </w:rPr>
      </w:pPr>
      <w:r w:rsidRPr="008961F4">
        <w:rPr>
          <w:sz w:val="28"/>
          <w:szCs w:val="28"/>
          <w:lang w:val="en-US"/>
        </w:rPr>
        <w:t xml:space="preserve">Moving down to our first main section, </w:t>
      </w:r>
      <w:r w:rsidRPr="008961F4">
        <w:rPr>
          <w:b/>
          <w:bCs/>
          <w:sz w:val="28"/>
          <w:szCs w:val="28"/>
          <w:lang w:val="en-US"/>
        </w:rPr>
        <w:t>Performance &amp; Task Audit</w:t>
      </w:r>
      <w:r w:rsidRPr="008961F4">
        <w:rPr>
          <w:sz w:val="28"/>
          <w:szCs w:val="28"/>
          <w:lang w:val="en-US"/>
        </w:rPr>
        <w:t>, we have a dual-view of our timeline.</w:t>
      </w:r>
    </w:p>
    <w:p w14:paraId="7067620D" w14:textId="77777777" w:rsidR="008961F4" w:rsidRPr="008961F4" w:rsidRDefault="008961F4" w:rsidP="008961F4">
      <w:pPr>
        <w:rPr>
          <w:sz w:val="28"/>
          <w:szCs w:val="28"/>
          <w:lang w:val="en-US"/>
        </w:rPr>
      </w:pPr>
      <w:r w:rsidRPr="008961F4">
        <w:rPr>
          <w:sz w:val="28"/>
          <w:szCs w:val="28"/>
          <w:lang w:val="en-US"/>
        </w:rPr>
        <w:t xml:space="preserve">On the left, the </w:t>
      </w:r>
      <w:r w:rsidRPr="008961F4">
        <w:rPr>
          <w:b/>
          <w:bCs/>
          <w:sz w:val="28"/>
          <w:szCs w:val="28"/>
          <w:lang w:val="en-US"/>
        </w:rPr>
        <w:t>SPI Recovery Trend</w:t>
      </w:r>
      <w:r w:rsidRPr="008961F4">
        <w:rPr>
          <w:sz w:val="28"/>
          <w:szCs w:val="28"/>
          <w:lang w:val="en-US"/>
        </w:rPr>
        <w:t xml:space="preserve"> chart illustrates our journey from a rocky start in May (where we were at a critical 0.40) to our current 0.85. This line graph is calculated by plotting the weekly aggregate of project progress. The upward slope is a positive business sign, indicating that our recent process improvements are working and we are trending toward a "healthy" 1.0.</w:t>
      </w:r>
    </w:p>
    <w:p w14:paraId="49298608" w14:textId="77777777" w:rsidR="008961F4" w:rsidRPr="008961F4" w:rsidRDefault="008961F4" w:rsidP="008961F4">
      <w:pPr>
        <w:rPr>
          <w:sz w:val="28"/>
          <w:szCs w:val="28"/>
          <w:lang w:val="en-US"/>
        </w:rPr>
      </w:pPr>
      <w:r w:rsidRPr="008961F4">
        <w:rPr>
          <w:sz w:val="28"/>
          <w:szCs w:val="28"/>
          <w:lang w:val="en-US"/>
        </w:rPr>
        <w:t xml:space="preserve">To the right of the trend line is our </w:t>
      </w:r>
      <w:r w:rsidRPr="008961F4">
        <w:rPr>
          <w:b/>
          <w:bCs/>
          <w:sz w:val="28"/>
          <w:szCs w:val="28"/>
          <w:lang w:val="en-US"/>
        </w:rPr>
        <w:t>Task Audit Console</w:t>
      </w:r>
      <w:r w:rsidRPr="008961F4">
        <w:rPr>
          <w:sz w:val="28"/>
          <w:szCs w:val="28"/>
          <w:lang w:val="en-US"/>
        </w:rPr>
        <w:t xml:space="preserve">. This table provides the granular "who and what" behind the numbers. Under </w:t>
      </w:r>
      <w:r w:rsidRPr="008961F4">
        <w:rPr>
          <w:b/>
          <w:bCs/>
          <w:sz w:val="28"/>
          <w:szCs w:val="28"/>
          <w:lang w:val="en-US"/>
        </w:rPr>
        <w:t>Completed This Week</w:t>
      </w:r>
      <w:r w:rsidRPr="008961F4">
        <w:rPr>
          <w:sz w:val="28"/>
          <w:szCs w:val="28"/>
          <w:lang w:val="en-US"/>
        </w:rPr>
        <w:t xml:space="preserve">, you can see tasks like "Shift Planning Fixes" and "Enrollment Design" achieved a </w:t>
      </w:r>
      <w:r w:rsidRPr="008961F4">
        <w:rPr>
          <w:sz w:val="28"/>
          <w:szCs w:val="28"/>
          <w:lang w:val="en-US"/>
        </w:rPr>
        <w:lastRenderedPageBreak/>
        <w:t xml:space="preserve">perfect </w:t>
      </w:r>
      <w:r w:rsidRPr="008961F4">
        <w:rPr>
          <w:b/>
          <w:bCs/>
          <w:sz w:val="28"/>
          <w:szCs w:val="28"/>
          <w:lang w:val="en-US"/>
        </w:rPr>
        <w:t>1.00 SPI</w:t>
      </w:r>
      <w:r w:rsidRPr="008961F4">
        <w:rPr>
          <w:sz w:val="28"/>
          <w:szCs w:val="28"/>
          <w:lang w:val="en-US"/>
        </w:rPr>
        <w:t xml:space="preserve">, meaning they were finished exactly on time. Below that, the </w:t>
      </w:r>
      <w:r w:rsidRPr="008961F4">
        <w:rPr>
          <w:b/>
          <w:bCs/>
          <w:sz w:val="28"/>
          <w:szCs w:val="28"/>
          <w:lang w:val="en-US"/>
        </w:rPr>
        <w:t>Ongoing</w:t>
      </w:r>
      <w:r w:rsidRPr="008961F4">
        <w:rPr>
          <w:sz w:val="28"/>
          <w:szCs w:val="28"/>
          <w:lang w:val="en-US"/>
        </w:rPr>
        <w:t xml:space="preserve"> section highlights where our delays are coming from. For instance, the "Configure VAT Rules" task has an </w:t>
      </w:r>
      <w:r w:rsidRPr="008961F4">
        <w:rPr>
          <w:b/>
          <w:bCs/>
          <w:sz w:val="28"/>
          <w:szCs w:val="28"/>
          <w:lang w:val="en-US"/>
        </w:rPr>
        <w:t>SPI of 0.45</w:t>
      </w:r>
      <w:r w:rsidRPr="008961F4">
        <w:rPr>
          <w:sz w:val="28"/>
          <w:szCs w:val="28"/>
          <w:lang w:val="en-US"/>
        </w:rPr>
        <w:t xml:space="preserve">, having taken 22 days against a 10-day plan. Technically, the color-coding you see—red for high variance and green for zero variance—is a dynamic calculation based on the </w:t>
      </w:r>
      <w:r w:rsidRPr="008961F4">
        <w:rPr>
          <w:b/>
          <w:bCs/>
          <w:sz w:val="28"/>
          <w:szCs w:val="28"/>
          <w:lang w:val="en-US"/>
        </w:rPr>
        <w:t>Variance (Days)</w:t>
      </w:r>
      <w:r w:rsidRPr="008961F4">
        <w:rPr>
          <w:sz w:val="28"/>
          <w:szCs w:val="28"/>
          <w:lang w:val="en-US"/>
        </w:rPr>
        <w:t xml:space="preserve"> column, which is simply the difference between actual days taken and the original estimate.</w:t>
      </w:r>
    </w:p>
    <w:p w14:paraId="456DFB6C" w14:textId="77777777" w:rsidR="00A566E4" w:rsidRPr="008961F4" w:rsidRDefault="00A566E4" w:rsidP="00A566E4">
      <w:pPr>
        <w:rPr>
          <w:sz w:val="28"/>
          <w:szCs w:val="28"/>
        </w:rPr>
      </w:pPr>
      <w:r w:rsidRPr="008961F4">
        <w:rPr>
          <w:sz w:val="28"/>
          <w:szCs w:val="28"/>
        </w:rPr>
        <w:pict w14:anchorId="42F4D3CB">
          <v:rect id="_x0000_i1112" style="width:0;height:1.5pt" o:hralign="center" o:hrstd="t" o:hr="t" fillcolor="#a0a0a0" stroked="f"/>
        </w:pict>
      </w:r>
    </w:p>
    <w:p w14:paraId="5210DAEC" w14:textId="0DD8F89C" w:rsidR="004F1EB1" w:rsidRPr="002F7337" w:rsidRDefault="008961F4" w:rsidP="004F1EB1">
      <w:pPr>
        <w:rPr>
          <w:sz w:val="28"/>
          <w:szCs w:val="28"/>
          <w:lang w:val="en-US"/>
        </w:rPr>
      </w:pPr>
      <w:r w:rsidRPr="008961F4">
        <w:rPr>
          <w:sz w:val="28"/>
          <w:szCs w:val="28"/>
          <w:lang w:val="en-US"/>
        </w:rPr>
        <w:t xml:space="preserve">Moving further down into the </w:t>
      </w:r>
      <w:r w:rsidRPr="008961F4">
        <w:rPr>
          <w:b/>
          <w:bCs/>
          <w:sz w:val="28"/>
          <w:szCs w:val="28"/>
          <w:lang w:val="en-US"/>
        </w:rPr>
        <w:t>Regional Efficiency &amp; Sprint Metrics</w:t>
      </w:r>
      <w:r w:rsidRPr="008961F4">
        <w:rPr>
          <w:sz w:val="28"/>
          <w:szCs w:val="28"/>
          <w:lang w:val="en-US"/>
        </w:rPr>
        <w:t xml:space="preserve"> section, </w:t>
      </w:r>
      <w:r w:rsidR="004F1EB1" w:rsidRPr="004F1EB1">
        <w:rPr>
          <w:sz w:val="28"/>
          <w:szCs w:val="28"/>
          <w:lang w:val="en-US"/>
        </w:rPr>
        <w:t xml:space="preserve"> we transition into our regional metrics, we move from overall health to the actual mechanics of our delivery teams. </w:t>
      </w:r>
    </w:p>
    <w:p w14:paraId="058EC181" w14:textId="77715683" w:rsidR="004F1EB1" w:rsidRPr="004F1EB1" w:rsidRDefault="004F1EB1" w:rsidP="004F1EB1">
      <w:pPr>
        <w:rPr>
          <w:sz w:val="28"/>
          <w:szCs w:val="28"/>
          <w:lang w:val="en-US"/>
        </w:rPr>
      </w:pPr>
      <w:r w:rsidRPr="004F1EB1">
        <w:rPr>
          <w:sz w:val="28"/>
          <w:szCs w:val="28"/>
          <w:lang w:val="en-US"/>
        </w:rPr>
        <w:t xml:space="preserve">Looking at the </w:t>
      </w:r>
      <w:r w:rsidRPr="004F1EB1">
        <w:rPr>
          <w:b/>
          <w:bCs/>
          <w:sz w:val="28"/>
          <w:szCs w:val="28"/>
          <w:lang w:val="en-US"/>
        </w:rPr>
        <w:t>Technical Intake</w:t>
      </w:r>
      <w:r w:rsidRPr="004F1EB1">
        <w:rPr>
          <w:sz w:val="28"/>
          <w:szCs w:val="28"/>
          <w:lang w:val="en-US"/>
        </w:rPr>
        <w:t xml:space="preserve"> donut chart on the left, we can see the complexity of the work we are currently absorbing. From a business perspective, this represents our "workload composition"—it's vital for understanding if we are being weighed down by heavy lifting or moving through smaller tasks. Currently, you’ll notice that over </w:t>
      </w:r>
      <w:r w:rsidRPr="004F1EB1">
        <w:rPr>
          <w:b/>
          <w:bCs/>
          <w:sz w:val="28"/>
          <w:szCs w:val="28"/>
          <w:lang w:val="en-US"/>
        </w:rPr>
        <w:t>41%</w:t>
      </w:r>
      <w:r w:rsidRPr="004F1EB1">
        <w:rPr>
          <w:sz w:val="28"/>
          <w:szCs w:val="28"/>
          <w:lang w:val="en-US"/>
        </w:rPr>
        <w:t xml:space="preserve"> of our intake consists of "XL" tasks. Technically, this is calculated by aggregating the T-shirt size estimates of every ticket as it enters our intake phase.</w:t>
      </w:r>
    </w:p>
    <w:p w14:paraId="50A2184D" w14:textId="77777777" w:rsidR="004F1EB1" w:rsidRPr="004F1EB1" w:rsidRDefault="004F1EB1" w:rsidP="004F1EB1">
      <w:pPr>
        <w:rPr>
          <w:sz w:val="28"/>
          <w:szCs w:val="28"/>
          <w:lang w:val="en-US"/>
        </w:rPr>
      </w:pPr>
      <w:r w:rsidRPr="004F1EB1">
        <w:rPr>
          <w:sz w:val="28"/>
          <w:szCs w:val="28"/>
          <w:lang w:val="en-US"/>
        </w:rPr>
        <w:t xml:space="preserve">Moving to the center, the </w:t>
      </w:r>
      <w:r w:rsidRPr="004F1EB1">
        <w:rPr>
          <w:b/>
          <w:bCs/>
          <w:sz w:val="28"/>
          <w:szCs w:val="28"/>
          <w:lang w:val="en-US"/>
        </w:rPr>
        <w:t>Handover Lag</w:t>
      </w:r>
      <w:r w:rsidRPr="004F1EB1">
        <w:rPr>
          <w:sz w:val="28"/>
          <w:szCs w:val="28"/>
          <w:lang w:val="en-US"/>
        </w:rPr>
        <w:t xml:space="preserve"> line chart is perhaps our most encouraging visual today. This is our "collaboration friction" metric, measuring the idle time between a developer finishing a task and a tester picking it up. After a high of over 20 hours in early sprints, the line takes a sharp dive at Sprint 5, finally settling below our </w:t>
      </w:r>
      <w:r w:rsidRPr="004F1EB1">
        <w:rPr>
          <w:b/>
          <w:bCs/>
          <w:sz w:val="28"/>
          <w:szCs w:val="28"/>
          <w:lang w:val="en-US"/>
        </w:rPr>
        <w:t>4.0-hour target</w:t>
      </w:r>
      <w:r w:rsidRPr="004F1EB1">
        <w:rPr>
          <w:sz w:val="28"/>
          <w:szCs w:val="28"/>
          <w:lang w:val="en-US"/>
        </w:rPr>
        <w:t>. This is technically calculated as the average time delta between the "Resolved" and "In Testing" status timestamps, and it signifies that our regional teams have successfully eliminated a major bottleneck.</w:t>
      </w:r>
    </w:p>
    <w:p w14:paraId="758B22C7" w14:textId="77777777" w:rsidR="004F1EB1" w:rsidRPr="004F1EB1" w:rsidRDefault="004F1EB1" w:rsidP="004F1EB1">
      <w:pPr>
        <w:rPr>
          <w:sz w:val="28"/>
          <w:szCs w:val="28"/>
          <w:lang w:val="en-US"/>
        </w:rPr>
      </w:pPr>
      <w:r w:rsidRPr="004F1EB1">
        <w:rPr>
          <w:sz w:val="28"/>
          <w:szCs w:val="28"/>
          <w:lang w:val="en-US"/>
        </w:rPr>
        <w:t xml:space="preserve">To the right, the </w:t>
      </w:r>
      <w:r w:rsidRPr="004F1EB1">
        <w:rPr>
          <w:b/>
          <w:bCs/>
          <w:sz w:val="28"/>
          <w:szCs w:val="28"/>
          <w:lang w:val="en-US"/>
        </w:rPr>
        <w:t>Sprint Velocity Heatmap</w:t>
      </w:r>
      <w:r w:rsidRPr="004F1EB1">
        <w:rPr>
          <w:sz w:val="28"/>
          <w:szCs w:val="28"/>
          <w:lang w:val="en-US"/>
        </w:rPr>
        <w:t xml:space="preserve"> gives us a clear look at our "team reliability". Business leaders should look at this as a predictability map. While the early sprints show a lot of red and orange—where teams were only hitting about </w:t>
      </w:r>
      <w:r w:rsidRPr="004F1EB1">
        <w:rPr>
          <w:b/>
          <w:bCs/>
          <w:sz w:val="28"/>
          <w:szCs w:val="28"/>
          <w:lang w:val="en-US"/>
        </w:rPr>
        <w:t>60%</w:t>
      </w:r>
      <w:r w:rsidRPr="004F1EB1">
        <w:rPr>
          <w:sz w:val="28"/>
          <w:szCs w:val="28"/>
          <w:lang w:val="en-US"/>
        </w:rPr>
        <w:t xml:space="preserve"> of their commitments—the most recent columns are almost entirely solid green, with many workstreams achieving </w:t>
      </w:r>
      <w:r w:rsidRPr="004F1EB1">
        <w:rPr>
          <w:b/>
          <w:bCs/>
          <w:sz w:val="28"/>
          <w:szCs w:val="28"/>
          <w:lang w:val="en-US"/>
        </w:rPr>
        <w:t>100% velocity</w:t>
      </w:r>
      <w:r w:rsidRPr="004F1EB1">
        <w:rPr>
          <w:sz w:val="28"/>
          <w:szCs w:val="28"/>
          <w:lang w:val="en-US"/>
        </w:rPr>
        <w:t>. This is technically the ratio of story points completed versus those committed during sprint planning, and it proves that our capacity forecasting is now highly accurate.</w:t>
      </w:r>
    </w:p>
    <w:p w14:paraId="75C22034" w14:textId="77777777" w:rsidR="004F1EB1" w:rsidRPr="004F1EB1" w:rsidRDefault="004F1EB1" w:rsidP="004F1EB1">
      <w:pPr>
        <w:rPr>
          <w:sz w:val="28"/>
          <w:szCs w:val="28"/>
        </w:rPr>
      </w:pPr>
      <w:r w:rsidRPr="004F1EB1">
        <w:rPr>
          <w:sz w:val="28"/>
          <w:szCs w:val="28"/>
        </w:rPr>
        <w:pict w14:anchorId="7ECD2DCC">
          <v:rect id="_x0000_i1110" style="width:0;height:1.5pt" o:hralign="center" o:hrstd="t" o:hr="t" fillcolor="#a0a0a0" stroked="f"/>
        </w:pict>
      </w:r>
    </w:p>
    <w:p w14:paraId="2ECB4978" w14:textId="57169E7C" w:rsidR="004F1EB1" w:rsidRPr="004F1EB1" w:rsidRDefault="004F1EB1" w:rsidP="004F1EB1">
      <w:pPr>
        <w:rPr>
          <w:sz w:val="28"/>
          <w:szCs w:val="28"/>
          <w:lang w:val="en-US"/>
        </w:rPr>
      </w:pPr>
      <w:r w:rsidRPr="004F1EB1">
        <w:rPr>
          <w:sz w:val="28"/>
          <w:szCs w:val="28"/>
          <w:lang w:val="en-US"/>
        </w:rPr>
        <w:lastRenderedPageBreak/>
        <w:t>Finally</w:t>
      </w:r>
      <w:r w:rsidR="00A566E4" w:rsidRPr="002F7337">
        <w:rPr>
          <w:sz w:val="28"/>
          <w:szCs w:val="28"/>
          <w:lang w:val="en-US"/>
        </w:rPr>
        <w:t xml:space="preserve">  </w:t>
      </w:r>
      <w:r w:rsidR="00A566E4" w:rsidRPr="004F1EB1">
        <w:rPr>
          <w:b/>
          <w:bCs/>
          <w:sz w:val="28"/>
          <w:szCs w:val="28"/>
          <w:lang w:val="en-US"/>
        </w:rPr>
        <w:t>Quality Assurance &amp; Bug Tracking</w:t>
      </w:r>
      <w:r w:rsidRPr="004F1EB1">
        <w:rPr>
          <w:sz w:val="28"/>
          <w:szCs w:val="28"/>
          <w:lang w:val="en-US"/>
        </w:rPr>
        <w:t xml:space="preserve">, let’s look at our "readiness for market" in the bottom row. On the left, the </w:t>
      </w:r>
      <w:r w:rsidRPr="004F1EB1">
        <w:rPr>
          <w:b/>
          <w:bCs/>
          <w:sz w:val="28"/>
          <w:szCs w:val="28"/>
          <w:lang w:val="en-US"/>
        </w:rPr>
        <w:t>Defect Resolution Speed (MTTR)</w:t>
      </w:r>
      <w:r w:rsidRPr="004F1EB1">
        <w:rPr>
          <w:sz w:val="28"/>
          <w:szCs w:val="28"/>
          <w:lang w:val="en-US"/>
        </w:rPr>
        <w:t xml:space="preserve"> scatter plot tracks our responsiveness to failure. From a business standpoint, we want to see bubbles moving down and to the right. You can see that earlier in the project, we had large bubbles sitting high on the Y-axis, meaning bugs were taking </w:t>
      </w:r>
      <w:r w:rsidRPr="004F1EB1">
        <w:rPr>
          <w:b/>
          <w:bCs/>
          <w:sz w:val="28"/>
          <w:szCs w:val="28"/>
          <w:lang w:val="en-US"/>
        </w:rPr>
        <w:t>15 to 25 days</w:t>
      </w:r>
      <w:r w:rsidRPr="004F1EB1">
        <w:rPr>
          <w:sz w:val="28"/>
          <w:szCs w:val="28"/>
          <w:lang w:val="en-US"/>
        </w:rPr>
        <w:t xml:space="preserve"> to fix. However, as of mid-June, the bubbles have plummeted, with most fixes now taking </w:t>
      </w:r>
      <w:r w:rsidRPr="004F1EB1">
        <w:rPr>
          <w:b/>
          <w:bCs/>
          <w:sz w:val="28"/>
          <w:szCs w:val="28"/>
          <w:lang w:val="en-US"/>
        </w:rPr>
        <w:t>under 5 days</w:t>
      </w:r>
      <w:r w:rsidRPr="004F1EB1">
        <w:rPr>
          <w:sz w:val="28"/>
          <w:szCs w:val="28"/>
          <w:lang w:val="en-US"/>
        </w:rPr>
        <w:t>. Technically, each bubble is a defect where the Y-axis represents the Mean Time to Repair, and the colors are mapped directly to the workstream responsible.</w:t>
      </w:r>
    </w:p>
    <w:p w14:paraId="47CE3A97" w14:textId="77777777" w:rsidR="004F1EB1" w:rsidRPr="004F1EB1" w:rsidRDefault="004F1EB1" w:rsidP="004F1EB1">
      <w:pPr>
        <w:rPr>
          <w:sz w:val="28"/>
          <w:szCs w:val="28"/>
          <w:lang w:val="en-US"/>
        </w:rPr>
      </w:pPr>
      <w:r w:rsidRPr="004F1EB1">
        <w:rPr>
          <w:sz w:val="28"/>
          <w:szCs w:val="28"/>
          <w:lang w:val="en-US"/>
        </w:rPr>
        <w:t xml:space="preserve">To conclude, the </w:t>
      </w:r>
      <w:r w:rsidRPr="004F1EB1">
        <w:rPr>
          <w:b/>
          <w:bCs/>
          <w:sz w:val="28"/>
          <w:szCs w:val="28"/>
          <w:lang w:val="en-US"/>
        </w:rPr>
        <w:t>Critical Defect Resolution Log</w:t>
      </w:r>
      <w:r w:rsidRPr="004F1EB1">
        <w:rPr>
          <w:sz w:val="28"/>
          <w:szCs w:val="28"/>
          <w:lang w:val="en-US"/>
        </w:rPr>
        <w:t xml:space="preserve"> on the right is our "high-risk inventory". This table identifies the specific technical hurdles, like </w:t>
      </w:r>
      <w:r w:rsidRPr="004F1EB1">
        <w:rPr>
          <w:b/>
          <w:bCs/>
          <w:sz w:val="28"/>
          <w:szCs w:val="28"/>
          <w:lang w:val="en-US"/>
        </w:rPr>
        <w:t>SQL Injection vulnerabilities</w:t>
      </w:r>
      <w:r w:rsidRPr="004F1EB1">
        <w:rPr>
          <w:sz w:val="28"/>
          <w:szCs w:val="28"/>
          <w:lang w:val="en-US"/>
        </w:rPr>
        <w:t xml:space="preserve"> or </w:t>
      </w:r>
      <w:r w:rsidRPr="004F1EB1">
        <w:rPr>
          <w:b/>
          <w:bCs/>
          <w:sz w:val="28"/>
          <w:szCs w:val="28"/>
          <w:lang w:val="en-US"/>
        </w:rPr>
        <w:t>Database deadlocks</w:t>
      </w:r>
      <w:r w:rsidRPr="004F1EB1">
        <w:rPr>
          <w:sz w:val="28"/>
          <w:szCs w:val="28"/>
          <w:lang w:val="en-US"/>
        </w:rPr>
        <w:t>, that could block our release. It technically pulls only those records tagged as "Critical" severity and sorts them by resolution time, ensuring that the most complex and long-standing risks are always at the top of our hit list.</w:t>
      </w:r>
    </w:p>
    <w:p w14:paraId="35012F11" w14:textId="77777777" w:rsidR="004F1EB1" w:rsidRPr="008961F4" w:rsidRDefault="004F1EB1" w:rsidP="008961F4">
      <w:pPr>
        <w:rPr>
          <w:sz w:val="28"/>
          <w:szCs w:val="28"/>
          <w:lang w:val="en-US"/>
        </w:rPr>
      </w:pPr>
    </w:p>
    <w:sectPr w:rsidR="004F1EB1" w:rsidRPr="008961F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7819"/>
    <w:multiLevelType w:val="multilevel"/>
    <w:tmpl w:val="5A46C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21CD3"/>
    <w:multiLevelType w:val="multilevel"/>
    <w:tmpl w:val="091A6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A4B40"/>
    <w:multiLevelType w:val="multilevel"/>
    <w:tmpl w:val="579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835D3"/>
    <w:multiLevelType w:val="multilevel"/>
    <w:tmpl w:val="17D2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73A8A"/>
    <w:multiLevelType w:val="multilevel"/>
    <w:tmpl w:val="0182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A2B1F"/>
    <w:multiLevelType w:val="multilevel"/>
    <w:tmpl w:val="EFF88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74A72"/>
    <w:multiLevelType w:val="multilevel"/>
    <w:tmpl w:val="992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120B9"/>
    <w:multiLevelType w:val="multilevel"/>
    <w:tmpl w:val="2DD4A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D2738"/>
    <w:multiLevelType w:val="multilevel"/>
    <w:tmpl w:val="7C88E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546DF"/>
    <w:multiLevelType w:val="multilevel"/>
    <w:tmpl w:val="5E8E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F64FE"/>
    <w:multiLevelType w:val="multilevel"/>
    <w:tmpl w:val="3E66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8088C"/>
    <w:multiLevelType w:val="multilevel"/>
    <w:tmpl w:val="4046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C3945"/>
    <w:multiLevelType w:val="multilevel"/>
    <w:tmpl w:val="BBD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0429D"/>
    <w:multiLevelType w:val="multilevel"/>
    <w:tmpl w:val="7CB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690347">
    <w:abstractNumId w:val="13"/>
  </w:num>
  <w:num w:numId="2" w16cid:durableId="2128767711">
    <w:abstractNumId w:val="6"/>
  </w:num>
  <w:num w:numId="3" w16cid:durableId="1707020007">
    <w:abstractNumId w:val="5"/>
  </w:num>
  <w:num w:numId="4" w16cid:durableId="167141147">
    <w:abstractNumId w:val="12"/>
  </w:num>
  <w:num w:numId="5" w16cid:durableId="827474411">
    <w:abstractNumId w:val="11"/>
  </w:num>
  <w:num w:numId="6" w16cid:durableId="1918131864">
    <w:abstractNumId w:val="1"/>
  </w:num>
  <w:num w:numId="7" w16cid:durableId="2049330689">
    <w:abstractNumId w:val="3"/>
  </w:num>
  <w:num w:numId="8" w16cid:durableId="361899228">
    <w:abstractNumId w:val="7"/>
  </w:num>
  <w:num w:numId="9" w16cid:durableId="1413577741">
    <w:abstractNumId w:val="8"/>
  </w:num>
  <w:num w:numId="10" w16cid:durableId="1145269776">
    <w:abstractNumId w:val="2"/>
  </w:num>
  <w:num w:numId="11" w16cid:durableId="1207135691">
    <w:abstractNumId w:val="4"/>
  </w:num>
  <w:num w:numId="12" w16cid:durableId="1060516856">
    <w:abstractNumId w:val="10"/>
  </w:num>
  <w:num w:numId="13" w16cid:durableId="2074616575">
    <w:abstractNumId w:val="0"/>
  </w:num>
  <w:num w:numId="14" w16cid:durableId="1535117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77"/>
    <w:rsid w:val="00122AEF"/>
    <w:rsid w:val="00210598"/>
    <w:rsid w:val="00217077"/>
    <w:rsid w:val="002F7337"/>
    <w:rsid w:val="00317007"/>
    <w:rsid w:val="004F1EB1"/>
    <w:rsid w:val="00603C6F"/>
    <w:rsid w:val="008961F4"/>
    <w:rsid w:val="009602EB"/>
    <w:rsid w:val="009B77D5"/>
    <w:rsid w:val="00A566E4"/>
    <w:rsid w:val="00D6325B"/>
    <w:rsid w:val="00E51D22"/>
    <w:rsid w:val="00EC08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5837"/>
  <w15:chartTrackingRefBased/>
  <w15:docId w15:val="{1E622D91-231E-4899-A243-61B68B06D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077"/>
    <w:rPr>
      <w:rFonts w:eastAsiaTheme="majorEastAsia" w:cstheme="majorBidi"/>
      <w:color w:val="272727" w:themeColor="text1" w:themeTint="D8"/>
    </w:rPr>
  </w:style>
  <w:style w:type="paragraph" w:styleId="Title">
    <w:name w:val="Title"/>
    <w:basedOn w:val="Normal"/>
    <w:next w:val="Normal"/>
    <w:link w:val="TitleChar"/>
    <w:uiPriority w:val="10"/>
    <w:qFormat/>
    <w:rsid w:val="00217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077"/>
    <w:pPr>
      <w:spacing w:before="160"/>
      <w:jc w:val="center"/>
    </w:pPr>
    <w:rPr>
      <w:i/>
      <w:iCs/>
      <w:color w:val="404040" w:themeColor="text1" w:themeTint="BF"/>
    </w:rPr>
  </w:style>
  <w:style w:type="character" w:customStyle="1" w:styleId="QuoteChar">
    <w:name w:val="Quote Char"/>
    <w:basedOn w:val="DefaultParagraphFont"/>
    <w:link w:val="Quote"/>
    <w:uiPriority w:val="29"/>
    <w:rsid w:val="00217077"/>
    <w:rPr>
      <w:i/>
      <w:iCs/>
      <w:color w:val="404040" w:themeColor="text1" w:themeTint="BF"/>
    </w:rPr>
  </w:style>
  <w:style w:type="paragraph" w:styleId="ListParagraph">
    <w:name w:val="List Paragraph"/>
    <w:basedOn w:val="Normal"/>
    <w:uiPriority w:val="34"/>
    <w:qFormat/>
    <w:rsid w:val="00217077"/>
    <w:pPr>
      <w:ind w:left="720"/>
      <w:contextualSpacing/>
    </w:pPr>
  </w:style>
  <w:style w:type="character" w:styleId="IntenseEmphasis">
    <w:name w:val="Intense Emphasis"/>
    <w:basedOn w:val="DefaultParagraphFont"/>
    <w:uiPriority w:val="21"/>
    <w:qFormat/>
    <w:rsid w:val="00217077"/>
    <w:rPr>
      <w:i/>
      <w:iCs/>
      <w:color w:val="0F4761" w:themeColor="accent1" w:themeShade="BF"/>
    </w:rPr>
  </w:style>
  <w:style w:type="paragraph" w:styleId="IntenseQuote">
    <w:name w:val="Intense Quote"/>
    <w:basedOn w:val="Normal"/>
    <w:next w:val="Normal"/>
    <w:link w:val="IntenseQuoteChar"/>
    <w:uiPriority w:val="30"/>
    <w:qFormat/>
    <w:rsid w:val="00217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077"/>
    <w:rPr>
      <w:i/>
      <w:iCs/>
      <w:color w:val="0F4761" w:themeColor="accent1" w:themeShade="BF"/>
    </w:rPr>
  </w:style>
  <w:style w:type="character" w:styleId="IntenseReference">
    <w:name w:val="Intense Reference"/>
    <w:basedOn w:val="DefaultParagraphFont"/>
    <w:uiPriority w:val="32"/>
    <w:qFormat/>
    <w:rsid w:val="002170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3</Pages>
  <Words>862</Words>
  <Characters>4917</Characters>
  <Application>Microsoft Office Word</Application>
  <DocSecurity>0</DocSecurity>
  <Lines>40</Lines>
  <Paragraphs>11</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Monnetti</dc:creator>
  <cp:keywords/>
  <dc:description/>
  <cp:lastModifiedBy>Lucia Monnetti</cp:lastModifiedBy>
  <cp:revision>1</cp:revision>
  <dcterms:created xsi:type="dcterms:W3CDTF">2026-02-14T16:00:00Z</dcterms:created>
  <dcterms:modified xsi:type="dcterms:W3CDTF">2026-02-14T20:44:00Z</dcterms:modified>
</cp:coreProperties>
</file>