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center"/>
        <w:rPr>
          <w:b/>
        </w:rPr>
      </w:pPr>
      <w:r>
        <w:rPr>
          <w:b/>
        </w:rPr>
        <w:t>ISTITUTO COMPRENSIVO DI ALMESE</w:t>
      </w:r>
    </w:p>
    <w:p>
      <w:pPr>
        <w:pStyle w:val="Heading1"/>
        <w:bidi w:val="0"/>
        <w:jc w:val="left"/>
        <w:rPr/>
      </w:pPr>
      <w:r>
        <w:rPr/>
        <w:t>PIANO DI LAVORO ANNUALE</w:t>
      </w:r>
    </w:p>
    <w:p>
      <w:pPr>
        <w:pStyle w:val="BodyText"/>
        <w:bidi w:val="0"/>
        <w:jc w:val="left"/>
        <w:rPr/>
      </w:pPr>
      <w:r>
        <w:rPr/>
        <w:t>Anno scolastico 2025/2026</w:t>
      </w:r>
    </w:p>
    <w:p>
      <w:pPr>
        <w:pStyle w:val="BodyText"/>
        <w:bidi w:val="0"/>
        <w:jc w:val="left"/>
        <w:rPr/>
      </w:pPr>
      <w:r>
        <w:rPr/>
        <w:t>Docente: Prof.ssa Laura Verdi</w:t>
      </w:r>
    </w:p>
    <w:p>
      <w:pPr>
        <w:pStyle w:val="BodyText"/>
        <w:bidi w:val="0"/>
        <w:jc w:val="left"/>
        <w:rPr/>
      </w:pPr>
      <w:r>
        <w:rPr/>
        <w:t>Disciplina: Matematica      Classe 2^B</w:t>
      </w:r>
    </w:p>
    <w:p>
      <w:pPr>
        <w:pStyle w:val="BodyText"/>
        <w:bidi w:val="0"/>
        <w:jc w:val="left"/>
        <w:rPr/>
      </w:pPr>
      <w:r>
        <w:rPr/>
        <w:t>Libro di testo: Contaci! vol. 2</w:t>
      </w:r>
    </w:p>
    <w:p>
      <w:pPr>
        <w:pStyle w:val="Heading2"/>
        <w:bidi w:val="0"/>
        <w:jc w:val="left"/>
        <w:rPr/>
      </w:pPr>
      <w:r>
        <w:rPr/>
        <w:t>1. Situazione di partenza della classe</w:t>
      </w:r>
    </w:p>
    <w:p>
      <w:pPr>
        <w:pStyle w:val="BodyText"/>
        <w:bidi w:val="0"/>
        <w:jc w:val="left"/>
        <w:rPr/>
      </w:pPr>
      <w:r>
        <w:rPr/>
        <w:t>La classe è composta da 21 alunni, 11 maschi e 10 femmine. Sono presenti 2 alunni con DSA e un alunno con disabilità (L.104/92).</w:t>
      </w:r>
    </w:p>
    <w:p>
      <w:pPr>
        <w:pStyle w:val="BodyText"/>
        <w:bidi w:val="0"/>
        <w:jc w:val="left"/>
        <w:rPr/>
      </w:pPr>
      <w:r>
        <w:rPr/>
        <w:t>Dai test d'ingresso e dalle osservazioni sistematiche emergono i seguenti livelli: livello avanzato 4 alunni, livello intermedio 8, livello base 6, livello iniziale 3.</w:t>
      </w:r>
    </w:p>
    <w:p>
      <w:pPr>
        <w:pStyle w:val="BodyText"/>
        <w:bidi w:val="0"/>
        <w:jc w:val="left"/>
        <w:rPr/>
      </w:pPr>
      <w:r>
        <w:rPr/>
        <w:t>La classe è vivace ma partecipe; alcuni alunni devono consolidare il metodo di studio.</w:t>
      </w:r>
    </w:p>
    <w:p>
      <w:pPr>
        <w:pStyle w:val="Heading2"/>
        <w:bidi w:val="0"/>
        <w:jc w:val="left"/>
        <w:rPr/>
      </w:pPr>
      <w:r>
        <w:rPr/>
        <w:t>2. Competenze chiave europee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Comunicazione nella madrelingua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Competenza matematica e competenze di base in scienza e tecnologia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Imparare a imparare</w:t>
      </w:r>
    </w:p>
    <w:p>
      <w:pPr>
        <w:pStyle w:val="BodyText"/>
        <w:numPr>
          <w:ilvl w:val="0"/>
          <w:numId w:val="1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Competenze sociali e civiche</w:t>
      </w:r>
    </w:p>
    <w:p>
      <w:pPr>
        <w:pStyle w:val="Heading2"/>
        <w:bidi w:val="0"/>
        <w:jc w:val="left"/>
        <w:rPr/>
      </w:pPr>
      <w:r>
        <w:rPr/>
        <w:t>3. Traguardi di competenza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L'alunno si muove con sicurezza nel calcolo anche con i numeri razionali, ne padroneggia le diverse rappresentazioni.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 xml:space="preserve">Riconosce e risolve problemi in contesti diversi valutando le informazioni e la loro coerenza. </w:t>
      </w:r>
    </w:p>
    <w:p>
      <w:pPr>
        <w:pStyle w:val="BodyText"/>
        <w:numPr>
          <w:ilvl w:val="0"/>
          <w:numId w:val="2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Sa lavorare in gruppo per risolvere problemi di realtà legati al territorio.</w:t>
      </w:r>
    </w:p>
    <w:p>
      <w:pPr>
        <w:pStyle w:val="Heading2"/>
        <w:bidi w:val="0"/>
        <w:jc w:val="left"/>
        <w:rPr/>
      </w:pPr>
      <w:r>
        <w:rPr/>
        <w:t>4. Contenuti e obiettivi</w:t>
      </w:r>
    </w:p>
    <w:tbl>
      <w:tblPr>
        <w:tblW w:w="4954" w:type="dxa"/>
        <w:jc w:val="left"/>
        <w:tblInd w:w="-7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946"/>
        <w:gridCol w:w="1111"/>
        <w:gridCol w:w="1666"/>
        <w:gridCol w:w="1231"/>
      </w:tblGrid>
      <w:tr>
        <w:trPr/>
        <w:tc>
          <w:tcPr>
            <w:tcW w:w="94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Unità</w:t>
            </w:r>
          </w:p>
        </w:tc>
        <w:tc>
          <w:tcPr>
            <w:tcW w:w="111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Periodo</w:t>
            </w:r>
          </w:p>
        </w:tc>
        <w:tc>
          <w:tcPr>
            <w:tcW w:w="1666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Obiettivi di apprendimento</w:t>
            </w:r>
          </w:p>
        </w:tc>
        <w:tc>
          <w:tcPr>
            <w:tcW w:w="1231" w:type="dxa"/>
            <w:tcBorders>
              <w:top w:val="double" w:sz="2" w:space="0" w:color="808080"/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Heading"/>
              <w:suppressLineNumbers/>
              <w:bidi w:val="0"/>
              <w:spacing w:before="0" w:after="283"/>
              <w:jc w:val="center"/>
              <w:rPr/>
            </w:pPr>
            <w:r>
              <w:rPr/>
              <w:t>Contenuti</w:t>
            </w:r>
          </w:p>
        </w:tc>
      </w:tr>
      <w:tr>
        <w:trPr/>
        <w:tc>
          <w:tcPr>
            <w:tcW w:w="94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I numeri razionali</w:t>
            </w:r>
          </w:p>
        </w:tc>
        <w:tc>
          <w:tcPr>
            <w:tcW w:w="11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Settembre - Ottobre</w:t>
            </w:r>
          </w:p>
        </w:tc>
        <w:tc>
          <w:tcPr>
            <w:tcW w:w="16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Operare con le frazioni</w:t>
              <w:br/>
              <w:t>Riconoscere i numeri decimali periodici</w:t>
            </w:r>
          </w:p>
        </w:tc>
        <w:tc>
          <w:tcPr>
            <w:tcW w:w="123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Frazioni generatrici, approssimazioni</w:t>
            </w:r>
          </w:p>
        </w:tc>
      </w:tr>
      <w:tr>
        <w:trPr/>
        <w:tc>
          <w:tcPr>
            <w:tcW w:w="94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Radice quadrata</w:t>
            </w:r>
          </w:p>
        </w:tc>
        <w:tc>
          <w:tcPr>
            <w:tcW w:w="11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Novembre</w:t>
            </w:r>
          </w:p>
        </w:tc>
        <w:tc>
          <w:tcPr>
            <w:tcW w:w="16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Calcolare radici quadrate</w:t>
            </w:r>
          </w:p>
        </w:tc>
        <w:tc>
          <w:tcPr>
            <w:tcW w:w="123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Tavole numeriche, proprietà</w:t>
            </w:r>
          </w:p>
        </w:tc>
      </w:tr>
      <w:tr>
        <w:trPr/>
        <w:tc>
          <w:tcPr>
            <w:tcW w:w="94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Le aree dei poligoni</w:t>
            </w:r>
          </w:p>
        </w:tc>
        <w:tc>
          <w:tcPr>
            <w:tcW w:w="111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Dicembre - Febbraio</w:t>
            </w:r>
          </w:p>
        </w:tc>
        <w:tc>
          <w:tcPr>
            <w:tcW w:w="1666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Calcolare aree di figure piane</w:t>
            </w:r>
          </w:p>
        </w:tc>
        <w:tc>
          <w:tcPr>
            <w:tcW w:w="1231" w:type="dxa"/>
            <w:tcBorders>
              <w:left w:val="double" w:sz="2" w:space="0" w:color="808080"/>
              <w:bottom w:val="double" w:sz="2" w:space="0" w:color="808080"/>
              <w:right w:val="double" w:sz="2" w:space="0" w:color="80808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>Formule dirette e inverse</w:t>
            </w:r>
          </w:p>
        </w:tc>
      </w:tr>
    </w:tbl>
    <w:p>
      <w:pPr>
        <w:pStyle w:val="Heading2"/>
        <w:bidi w:val="0"/>
        <w:jc w:val="left"/>
        <w:rPr/>
      </w:pPr>
      <w:r>
        <w:rPr/>
        <w:t>5. Metodologie</w:t>
      </w:r>
    </w:p>
    <w:p>
      <w:pPr>
        <w:pStyle w:val="BodyText"/>
        <w:bidi w:val="0"/>
        <w:jc w:val="left"/>
        <w:rPr/>
      </w:pPr>
      <w:r>
        <w:rPr/>
        <w:t>Si utilizzeranno le seguenti metodologie: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lezione frontale e lezione partecipata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lavori di gruppo, cooperative learning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spacing w:before="0" w:after="0"/>
        <w:ind w:hanging="283" w:left="709"/>
        <w:jc w:val="left"/>
        <w:rPr/>
      </w:pPr>
      <w:r>
        <w:rPr/>
        <w:t>problem solving</w:t>
      </w:r>
    </w:p>
    <w:p>
      <w:pPr>
        <w:pStyle w:val="BodyText"/>
        <w:numPr>
          <w:ilvl w:val="0"/>
          <w:numId w:val="3"/>
        </w:numPr>
        <w:tabs>
          <w:tab w:val="clear" w:pos="1134"/>
          <w:tab w:val="left" w:pos="709" w:leader="none"/>
        </w:tabs>
        <w:bidi w:val="0"/>
        <w:ind w:hanging="283" w:left="709"/>
        <w:jc w:val="left"/>
        <w:rPr/>
      </w:pPr>
      <w:r>
        <w:rPr/>
        <w:t>uso del laboratorio di informatica con GeoGebra</w:t>
      </w:r>
    </w:p>
    <w:p>
      <w:pPr>
        <w:pStyle w:val="Heading2"/>
        <w:bidi w:val="0"/>
        <w:jc w:val="left"/>
        <w:rPr/>
      </w:pPr>
      <w:r>
        <w:rPr/>
        <w:t>6. Strumenti</w:t>
      </w:r>
    </w:p>
    <w:p>
      <w:pPr>
        <w:pStyle w:val="BodyText"/>
        <w:bidi w:val="0"/>
        <w:jc w:val="left"/>
        <w:rPr/>
      </w:pPr>
      <w:r>
        <w:rPr/>
        <w:t>Libro di testo, LIM, schede predisposte dall'insegnante, software GeoGebra.</w:t>
      </w:r>
    </w:p>
    <w:p>
      <w:pPr>
        <w:pStyle w:val="Heading2"/>
        <w:bidi w:val="0"/>
        <w:jc w:val="left"/>
        <w:rPr/>
      </w:pPr>
      <w:r>
        <w:rPr/>
        <w:t>7. Verifiche e valutazione</w:t>
      </w:r>
    </w:p>
    <w:p>
      <w:pPr>
        <w:pStyle w:val="BodyText"/>
        <w:bidi w:val="0"/>
        <w:jc w:val="left"/>
        <w:rPr/>
      </w:pPr>
      <w:r>
        <w:rPr/>
        <w:t>Prove scritte strutturate e semistrutturate, interrogazioni orali, esercizi alla lavagna. Almeno tre verifiche scritte per quadrimestre.</w:t>
      </w:r>
    </w:p>
    <w:p>
      <w:pPr>
        <w:pStyle w:val="Heading2"/>
        <w:bidi w:val="0"/>
        <w:jc w:val="left"/>
        <w:rPr/>
      </w:pPr>
      <w:r>
        <w:rPr/>
        <w:t>8. Attività di recupero</w:t>
      </w:r>
    </w:p>
    <w:p>
      <w:pPr>
        <w:pStyle w:val="BodyText"/>
        <w:bidi w:val="0"/>
        <w:jc w:val="left"/>
        <w:rPr/>
      </w:pPr>
      <w:r>
        <w:rPr/>
        <w:t>Recupero in itinere, esercitazioni guidate, attività per gruppi di livello.</w:t>
      </w:r>
    </w:p>
    <w:p>
      <w:pPr>
        <w:pStyle w:val="Heading2"/>
        <w:bidi w:val="0"/>
        <w:jc w:val="left"/>
        <w:rPr/>
      </w:pPr>
      <w:r>
        <w:rPr/>
        <w:t>Uscite didattiche</w:t>
      </w:r>
    </w:p>
    <w:p>
      <w:pPr>
        <w:pStyle w:val="BodyText"/>
        <w:bidi w:val="0"/>
        <w:spacing w:before="0" w:after="283"/>
        <w:jc w:val="left"/>
        <w:rPr/>
      </w:pPr>
      <w:r>
        <w:rPr/>
        <w:t>Visita al Museo della matematica di Torino nel mese di marzo.</w:t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Noto Sans">
    <w:charset w:val="00"/>
    <w:family w:val="auto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none"/>
      <w:suff w:val="nothing"/>
      <w:lvlText w:val="%1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%2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%3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%4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%5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%6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%7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%8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%9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WenQuanYi Zen Hei" w:cs="FreeSans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rFonts w:ascii="Noto Sans" w:hAnsi="Noto Sans"/>
      <w:b/>
      <w:bCs/>
      <w:sz w:val="48"/>
      <w:szCs w:val="44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WenQuanYi Zen Hei" w:cs="FreeSans"/>
      <w:b/>
      <w:bCs/>
      <w:sz w:val="36"/>
      <w:szCs w:val="36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/>
  </w:style>
  <w:style w:type="paragraph" w:styleId="Footer">
    <w:name w:val="Foot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">
    <w:name w:val="Header"/>
    <w:basedOn w:val="Normal"/>
    <w:pPr>
      <w:suppressLineNumbers/>
      <w:tabs>
        <w:tab w:val="clear" w:pos="1134"/>
        <w:tab w:val="center" w:pos="4818" w:leader="none"/>
        <w:tab w:val="right" w:pos="9637" w:leader="none"/>
      </w:tabs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1134"/>
        <w:tab w:val="center" w:pos="4819" w:leader="none"/>
        <w:tab w:val="right" w:pos="9638" w:leader="none"/>
      </w:tabs>
    </w:pPr>
    <w:rPr/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List">
    <w:name w:val="List"/>
    <w:basedOn w:val="BodyText"/>
    <w:pPr/>
    <w:rPr>
      <w:rFonts w:cs="FreeSans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