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3A8D6" w14:textId="77777777" w:rsidR="00D03CBA" w:rsidRDefault="00000000">
      <w:pPr>
        <w:spacing w:before="80"/>
        <w:jc w:val="center"/>
      </w:pPr>
      <w:r>
        <w:rPr>
          <w:b/>
          <w:color w:val="173BC4"/>
          <w:sz w:val="16"/>
        </w:rPr>
        <w:t>ENGINEERING  ·  POLICY AND ENGINEERING SYSTEMS REVIEW</w:t>
      </w:r>
    </w:p>
    <w:p w14:paraId="0681081E" w14:textId="77777777" w:rsidR="00D03CBA" w:rsidRDefault="00000000">
      <w:pPr>
        <w:pStyle w:val="Title"/>
        <w:jc w:val="center"/>
      </w:pPr>
      <w:r>
        <w:t>Engineering Sustainable Industrial Transition in Nigeria: An Integrated Framework for Reliability, Circularity and Operational Resilience</w:t>
      </w:r>
    </w:p>
    <w:p w14:paraId="779442AF" w14:textId="77777777" w:rsidR="00AA1654" w:rsidRDefault="00AA1654" w:rsidP="0093380F">
      <w:pPr>
        <w:spacing w:after="10"/>
      </w:pPr>
      <w:r>
        <w:rPr>
          <w:rFonts w:ascii="Aptos" w:hAnsi="Aptos"/>
          <w:b/>
          <w:sz w:val="22"/>
        </w:rPr>
        <w:t xml:space="preserve">CHIA </w:t>
      </w:r>
      <w:proofErr w:type="spellStart"/>
      <w:r>
        <w:rPr>
          <w:rFonts w:ascii="Aptos" w:hAnsi="Aptos"/>
          <w:b/>
          <w:sz w:val="22"/>
        </w:rPr>
        <w:t>Shiaondo</w:t>
      </w:r>
      <w:proofErr w:type="spellEnd"/>
      <w:r>
        <w:rPr>
          <w:rFonts w:ascii="Aptos" w:hAnsi="Aptos"/>
          <w:b/>
          <w:sz w:val="22"/>
        </w:rPr>
        <w:t xml:space="preserve"> Kenneth</w:t>
      </w:r>
    </w:p>
    <w:p w14:paraId="0DCF3368" w14:textId="77777777" w:rsidR="00AA1654" w:rsidRDefault="00AA1654" w:rsidP="0093380F">
      <w:pPr>
        <w:spacing w:after="0"/>
      </w:pPr>
      <w:r>
        <w:rPr>
          <w:rFonts w:ascii="Aptos" w:hAnsi="Aptos"/>
          <w:i/>
          <w:color w:val="6B7280"/>
          <w:sz w:val="17"/>
        </w:rPr>
        <w:t>CHIATECH Solutions and Resources Ltd, Abuja, Nigeria</w:t>
      </w:r>
    </w:p>
    <w:p w14:paraId="60F3CBC2" w14:textId="77777777" w:rsidR="00AA1654" w:rsidRDefault="00AA1654" w:rsidP="00AA1654">
      <w:pPr>
        <w:spacing w:after="80"/>
      </w:pPr>
      <w:r>
        <w:rPr>
          <w:rFonts w:ascii="Aptos" w:hAnsi="Aptos"/>
          <w:color w:val="6B7280"/>
          <w:sz w:val="16"/>
        </w:rPr>
        <w:t>ORCID: 0009-0009-6434-4586 · Correspondence: chiakenneth01@gmail.com</w:t>
      </w:r>
    </w:p>
    <w:tbl>
      <w:tblPr>
        <w:tblW w:w="9360" w:type="dxa"/>
        <w:tblBorders>
          <w:top w:val="single" w:sz="4" w:space="0" w:color="C6D0E1"/>
          <w:left w:val="single" w:sz="4" w:space="0" w:color="C6D0E1"/>
          <w:bottom w:val="single" w:sz="4" w:space="0" w:color="C6D0E1"/>
          <w:right w:val="single" w:sz="4" w:space="0" w:color="C6D0E1"/>
          <w:insideH w:val="single" w:sz="4" w:space="0" w:color="C6D0E1"/>
          <w:insideV w:val="single" w:sz="4" w:space="0" w:color="C6D0E1"/>
        </w:tblBorders>
        <w:tblLayout w:type="fixed"/>
        <w:tblLook w:val="04A0" w:firstRow="1" w:lastRow="0" w:firstColumn="1" w:lastColumn="0" w:noHBand="0" w:noVBand="1"/>
      </w:tblPr>
      <w:tblGrid>
        <w:gridCol w:w="2200"/>
        <w:gridCol w:w="7160"/>
      </w:tblGrid>
      <w:tr w:rsidR="00D03CBA" w14:paraId="18F56BFE" w14:textId="77777777">
        <w:trPr>
          <w:cantSplit/>
        </w:trPr>
        <w:tc>
          <w:tcPr>
            <w:tcW w:w="2200" w:type="dxa"/>
            <w:shd w:val="clear" w:color="auto" w:fill="071A45"/>
            <w:tcMar>
              <w:top w:w="80" w:type="dxa"/>
              <w:left w:w="110" w:type="dxa"/>
              <w:bottom w:w="80" w:type="dxa"/>
              <w:right w:w="110" w:type="dxa"/>
            </w:tcMar>
            <w:vAlign w:val="center"/>
          </w:tcPr>
          <w:p w14:paraId="1EE2A173" w14:textId="77777777" w:rsidR="00D03CBA" w:rsidRDefault="00000000">
            <w:pPr>
              <w:spacing w:after="0" w:line="245" w:lineRule="auto"/>
            </w:pPr>
            <w:r>
              <w:rPr>
                <w:b/>
                <w:color w:val="FFFFFF"/>
                <w:sz w:val="15"/>
              </w:rPr>
              <w:t>Issue</w:t>
            </w:r>
          </w:p>
        </w:tc>
        <w:tc>
          <w:tcPr>
            <w:tcW w:w="7160" w:type="dxa"/>
            <w:shd w:val="clear" w:color="auto" w:fill="FFFFFF"/>
            <w:tcMar>
              <w:top w:w="80" w:type="dxa"/>
              <w:left w:w="110" w:type="dxa"/>
              <w:bottom w:w="80" w:type="dxa"/>
              <w:right w:w="110" w:type="dxa"/>
            </w:tcMar>
            <w:vAlign w:val="center"/>
          </w:tcPr>
          <w:p w14:paraId="77587E62" w14:textId="77777777" w:rsidR="00D03CBA" w:rsidRDefault="00000000">
            <w:pPr>
              <w:spacing w:after="0" w:line="245" w:lineRule="auto"/>
            </w:pPr>
            <w:r>
              <w:rPr>
                <w:sz w:val="15"/>
              </w:rPr>
              <w:t>CHIATECH JOURNAL · Volume 1 · Issue 1 · July 2026 collection · e014</w:t>
            </w:r>
          </w:p>
        </w:tc>
      </w:tr>
      <w:tr w:rsidR="00D03CBA" w14:paraId="27BE6E10" w14:textId="77777777">
        <w:trPr>
          <w:cantSplit/>
        </w:trPr>
        <w:tc>
          <w:tcPr>
            <w:tcW w:w="2200" w:type="dxa"/>
            <w:shd w:val="clear" w:color="auto" w:fill="071A45"/>
            <w:tcMar>
              <w:top w:w="80" w:type="dxa"/>
              <w:left w:w="110" w:type="dxa"/>
              <w:bottom w:w="80" w:type="dxa"/>
              <w:right w:w="110" w:type="dxa"/>
            </w:tcMar>
            <w:vAlign w:val="center"/>
          </w:tcPr>
          <w:p w14:paraId="1A3CA274" w14:textId="77777777" w:rsidR="00D03CBA" w:rsidRDefault="00000000">
            <w:pPr>
              <w:spacing w:after="0" w:line="245" w:lineRule="auto"/>
            </w:pPr>
            <w:r>
              <w:rPr>
                <w:b/>
                <w:color w:val="FFFFFF"/>
                <w:sz w:val="15"/>
              </w:rPr>
              <w:t>Publication identifiers</w:t>
            </w:r>
          </w:p>
        </w:tc>
        <w:tc>
          <w:tcPr>
            <w:tcW w:w="7160" w:type="dxa"/>
            <w:shd w:val="clear" w:color="auto" w:fill="FFF8CF"/>
            <w:tcMar>
              <w:top w:w="80" w:type="dxa"/>
              <w:left w:w="110" w:type="dxa"/>
              <w:bottom w:w="80" w:type="dxa"/>
              <w:right w:w="110" w:type="dxa"/>
            </w:tcMar>
            <w:vAlign w:val="center"/>
          </w:tcPr>
          <w:p w14:paraId="2330F1F1" w14:textId="77777777" w:rsidR="00D03CBA" w:rsidRDefault="00000000">
            <w:pPr>
              <w:spacing w:after="0" w:line="245" w:lineRule="auto"/>
            </w:pPr>
            <w:r>
              <w:rPr>
                <w:sz w:val="15"/>
              </w:rPr>
              <w:t>ISSN not assigned—application ongoing · Full DOI not assigned—registration ongoing</w:t>
            </w:r>
          </w:p>
        </w:tc>
      </w:tr>
      <w:tr w:rsidR="00D03CBA" w14:paraId="6BEA9520" w14:textId="77777777">
        <w:trPr>
          <w:cantSplit/>
        </w:trPr>
        <w:tc>
          <w:tcPr>
            <w:tcW w:w="2200" w:type="dxa"/>
            <w:shd w:val="clear" w:color="auto" w:fill="F4F7FF"/>
            <w:tcMar>
              <w:top w:w="80" w:type="dxa"/>
              <w:left w:w="110" w:type="dxa"/>
              <w:bottom w:w="80" w:type="dxa"/>
              <w:right w:w="110" w:type="dxa"/>
            </w:tcMar>
            <w:vAlign w:val="center"/>
          </w:tcPr>
          <w:p w14:paraId="4F91288A" w14:textId="77777777" w:rsidR="00D03CBA" w:rsidRDefault="00000000">
            <w:pPr>
              <w:spacing w:after="0" w:line="245" w:lineRule="auto"/>
            </w:pPr>
            <w:r>
              <w:rPr>
                <w:b/>
                <w:color w:val="071A45"/>
                <w:sz w:val="15"/>
              </w:rPr>
              <w:t>Reserved DOI suffix</w:t>
            </w:r>
          </w:p>
        </w:tc>
        <w:tc>
          <w:tcPr>
            <w:tcW w:w="7160" w:type="dxa"/>
            <w:shd w:val="clear" w:color="auto" w:fill="FFFFFF"/>
            <w:tcMar>
              <w:top w:w="80" w:type="dxa"/>
              <w:left w:w="110" w:type="dxa"/>
              <w:bottom w:w="80" w:type="dxa"/>
              <w:right w:w="110" w:type="dxa"/>
            </w:tcMar>
            <w:vAlign w:val="center"/>
          </w:tcPr>
          <w:p w14:paraId="0ECD0FFA" w14:textId="77777777" w:rsidR="00D03CBA" w:rsidRDefault="00000000">
            <w:pPr>
              <w:spacing w:after="0" w:line="245" w:lineRule="auto"/>
            </w:pPr>
            <w:r>
              <w:rPr>
                <w:sz w:val="15"/>
              </w:rPr>
              <w:t>chj.r5t9jw · Opaque suffix reserved locally; registrar-supplied prefix will be added only after registration</w:t>
            </w:r>
          </w:p>
        </w:tc>
      </w:tr>
      <w:tr w:rsidR="00D03CBA" w14:paraId="0ACE67DB" w14:textId="77777777">
        <w:trPr>
          <w:cantSplit/>
        </w:trPr>
        <w:tc>
          <w:tcPr>
            <w:tcW w:w="2200" w:type="dxa"/>
            <w:shd w:val="clear" w:color="auto" w:fill="F4F7FF"/>
            <w:tcMar>
              <w:top w:w="80" w:type="dxa"/>
              <w:left w:w="110" w:type="dxa"/>
              <w:bottom w:w="80" w:type="dxa"/>
              <w:right w:w="110" w:type="dxa"/>
            </w:tcMar>
            <w:vAlign w:val="center"/>
          </w:tcPr>
          <w:p w14:paraId="2167EC61" w14:textId="77777777" w:rsidR="00D03CBA" w:rsidRDefault="00000000">
            <w:pPr>
              <w:spacing w:after="0" w:line="245" w:lineRule="auto"/>
            </w:pPr>
            <w:r>
              <w:rPr>
                <w:b/>
                <w:color w:val="071A45"/>
                <w:sz w:val="15"/>
              </w:rPr>
              <w:t>Editorial status</w:t>
            </w:r>
          </w:p>
        </w:tc>
        <w:tc>
          <w:tcPr>
            <w:tcW w:w="7160" w:type="dxa"/>
            <w:shd w:val="clear" w:color="auto" w:fill="FFFFFF"/>
            <w:tcMar>
              <w:top w:w="80" w:type="dxa"/>
              <w:left w:w="110" w:type="dxa"/>
              <w:bottom w:w="80" w:type="dxa"/>
              <w:right w:w="110" w:type="dxa"/>
            </w:tcMar>
            <w:vAlign w:val="center"/>
          </w:tcPr>
          <w:p w14:paraId="2AE4138A" w14:textId="77777777" w:rsidR="00D03CBA" w:rsidRDefault="00000000">
            <w:pPr>
              <w:spacing w:after="0" w:line="245" w:lineRule="auto"/>
            </w:pPr>
            <w:r>
              <w:rPr>
                <w:sz w:val="15"/>
              </w:rPr>
              <w:t>Final editor's production copy · Public release requires recorded editorial and peer-review authorization</w:t>
            </w:r>
          </w:p>
        </w:tc>
      </w:tr>
      <w:tr w:rsidR="00D03CBA" w14:paraId="3CD12B33" w14:textId="77777777">
        <w:trPr>
          <w:cantSplit/>
        </w:trPr>
        <w:tc>
          <w:tcPr>
            <w:tcW w:w="2200" w:type="dxa"/>
            <w:shd w:val="clear" w:color="auto" w:fill="F4F7FF"/>
            <w:tcMar>
              <w:top w:w="80" w:type="dxa"/>
              <w:left w:w="110" w:type="dxa"/>
              <w:bottom w:w="80" w:type="dxa"/>
              <w:right w:w="110" w:type="dxa"/>
            </w:tcMar>
            <w:vAlign w:val="center"/>
          </w:tcPr>
          <w:p w14:paraId="2B73046B" w14:textId="77777777" w:rsidR="00D03CBA" w:rsidRDefault="00000000">
            <w:pPr>
              <w:spacing w:after="0" w:line="245" w:lineRule="auto"/>
            </w:pPr>
            <w:r>
              <w:rPr>
                <w:b/>
                <w:color w:val="071A45"/>
                <w:sz w:val="15"/>
              </w:rPr>
              <w:t>Evidence design</w:t>
            </w:r>
          </w:p>
        </w:tc>
        <w:tc>
          <w:tcPr>
            <w:tcW w:w="7160" w:type="dxa"/>
            <w:shd w:val="clear" w:color="auto" w:fill="FFFFFF"/>
            <w:tcMar>
              <w:top w:w="80" w:type="dxa"/>
              <w:left w:w="110" w:type="dxa"/>
              <w:bottom w:w="80" w:type="dxa"/>
              <w:right w:w="110" w:type="dxa"/>
            </w:tcMar>
            <w:vAlign w:val="center"/>
          </w:tcPr>
          <w:p w14:paraId="767D37C3" w14:textId="77777777" w:rsidR="00D03CBA" w:rsidRDefault="00000000">
            <w:pPr>
              <w:spacing w:after="0" w:line="245" w:lineRule="auto"/>
            </w:pPr>
            <w:r>
              <w:rPr>
                <w:sz w:val="15"/>
              </w:rPr>
              <w:t>Critical review and conceptual framework; no primary dataset, participant recruitment or field experiment was conducted for this paper.</w:t>
            </w:r>
          </w:p>
        </w:tc>
      </w:tr>
      <w:tr w:rsidR="00D03CBA" w14:paraId="491649C7" w14:textId="77777777">
        <w:trPr>
          <w:cantSplit/>
        </w:trPr>
        <w:tc>
          <w:tcPr>
            <w:tcW w:w="2200" w:type="dxa"/>
            <w:shd w:val="clear" w:color="auto" w:fill="F4F7FF"/>
            <w:tcMar>
              <w:top w:w="80" w:type="dxa"/>
              <w:left w:w="110" w:type="dxa"/>
              <w:bottom w:w="80" w:type="dxa"/>
              <w:right w:w="110" w:type="dxa"/>
            </w:tcMar>
            <w:vAlign w:val="center"/>
          </w:tcPr>
          <w:p w14:paraId="3F732B01" w14:textId="77777777" w:rsidR="00D03CBA" w:rsidRDefault="00000000">
            <w:pPr>
              <w:spacing w:after="0" w:line="245" w:lineRule="auto"/>
            </w:pPr>
            <w:r>
              <w:rPr>
                <w:b/>
                <w:color w:val="071A45"/>
                <w:sz w:val="15"/>
              </w:rPr>
              <w:t>Planned open licence</w:t>
            </w:r>
          </w:p>
        </w:tc>
        <w:tc>
          <w:tcPr>
            <w:tcW w:w="7160" w:type="dxa"/>
            <w:shd w:val="clear" w:color="auto" w:fill="FFFFFF"/>
            <w:tcMar>
              <w:top w:w="80" w:type="dxa"/>
              <w:left w:w="110" w:type="dxa"/>
              <w:bottom w:w="80" w:type="dxa"/>
              <w:right w:w="110" w:type="dxa"/>
            </w:tcMar>
            <w:vAlign w:val="center"/>
          </w:tcPr>
          <w:p w14:paraId="40459949" w14:textId="77777777" w:rsidR="00D03CBA" w:rsidRDefault="00000000">
            <w:pPr>
              <w:spacing w:after="0" w:line="245" w:lineRule="auto"/>
            </w:pPr>
            <w:r>
              <w:rPr>
                <w:sz w:val="15"/>
              </w:rPr>
              <w:t>CC BY 4.0 upon authorized publication; no licence is asserted by this production copy alone</w:t>
            </w:r>
          </w:p>
        </w:tc>
      </w:tr>
    </w:tbl>
    <w:p w14:paraId="77194356" w14:textId="77777777" w:rsidR="00D03CBA" w:rsidRDefault="00000000">
      <w:pPr>
        <w:pStyle w:val="Heading1"/>
        <w:keepNext/>
        <w:spacing w:before="160" w:after="60"/>
      </w:pPr>
      <w:r>
        <w:rPr>
          <w:b/>
          <w:color w:val="173BC4"/>
          <w:sz w:val="20"/>
        </w:rPr>
        <w:t>Abstract</w:t>
      </w:r>
    </w:p>
    <w:p w14:paraId="1F393799" w14:textId="77777777" w:rsidR="00D03CBA" w:rsidRDefault="00000000">
      <w:pPr>
        <w:pStyle w:val="ArticleAbstract"/>
      </w:pPr>
      <w:r>
        <w:t>Nigeria's industrial transition must expand productive capacity while reducing exposure to unreliable energy, material waste, climate hazards, technology obsolescence and supply disruption. This policy and engineering-systems review integrates Nigeria's Energy Transition Plan, Long-Term Low-Emission Development Strategy, electricity and enterprise evidence, industrial sustainability standards and resilience literature. It proposes the RESTORE framework: Reliability of energy and utilities; Efficiency and emissions control; Standards and safety; Traceable data and materials; Operational continuity; Resource circularity; and Equity, skills and just-transition governance. The framework treats decarbonisation and resilience as a single engineering portfolio rather than separate compliance projects. A staged implementation method begins with asset, energy, material and risk baselines; identifies no-regret reliability and efficiency actions; evaluates capital projects through lifecycle cost, emissions and downtime; and verifies results through metered performance and controlled management systems. The review cautions against unsupported savings claims, single-scenario business cases and technology procurement without maintenance, spare-parts and workforce plans. RESTORE is a conceptual decision framework, not an empirically validated maturity model. Its value lies in making trade-offs, dependencies and evidence requirements explicit for firms, industrial parks, financiers and policymakers.</w:t>
      </w:r>
    </w:p>
    <w:p w14:paraId="7116BE13" w14:textId="77777777" w:rsidR="00D03CBA" w:rsidRDefault="00000000">
      <w:pPr>
        <w:pStyle w:val="ArticleAbstract"/>
      </w:pPr>
      <w:r>
        <w:rPr>
          <w:b/>
        </w:rPr>
        <w:t xml:space="preserve">Keywords: </w:t>
      </w:r>
      <w:r>
        <w:t>sustainable industry; operational resilience; energy transition; circular economy; industrial engineering; Nigeria</w:t>
      </w:r>
    </w:p>
    <w:p w14:paraId="1086C269" w14:textId="77777777" w:rsidR="00D03CBA" w:rsidRDefault="00000000">
      <w:pPr>
        <w:pStyle w:val="Heading1"/>
      </w:pPr>
      <w:r>
        <w:t>1. Introduction</w:t>
      </w:r>
    </w:p>
    <w:p w14:paraId="1CDCF204" w14:textId="77777777" w:rsidR="00D03CBA" w:rsidRDefault="00000000">
      <w:pPr>
        <w:jc w:val="both"/>
      </w:pPr>
      <w:r>
        <w:t>Industrial growth in Nigeria is constrained by the interaction of infrastructure, finance, supply, maintenance and policy risks. Electricity outages can interrupt production, damage work in process and require expensive self-generation. Imported equipment may lack local spares or specialist support. Floods, heat and transport disruption affect facilities and supply chains. At the same time, industry must improve energy and material efficiency and prepare for a lower-emission economy. Treating each pressure as a separate project produces fragmented investment and hidden trade-offs.</w:t>
      </w:r>
    </w:p>
    <w:p w14:paraId="633D3BF2" w14:textId="77777777" w:rsidR="00D03CBA" w:rsidRDefault="00000000">
      <w:pPr>
        <w:jc w:val="both"/>
      </w:pPr>
      <w:r>
        <w:t xml:space="preserve">Nigeria's Energy Transition Plan links development and climate action and includes power, industry, transport, cooking, and oil and gas within a pathway towards net zero by 2060. The industrial pathway </w:t>
      </w:r>
      <w:r>
        <w:lastRenderedPageBreak/>
        <w:t>anticipates growth alongside major reductions in process and energy emissions. Nigeria's Long-Term Low-Emission Development Strategy similarly identifies industrial efficiency, cleaner energy, technology and standards as transition levers. These national ambitions require translation into plant-level engineering decisions that protect throughput, quality, safety and employment.</w:t>
      </w:r>
    </w:p>
    <w:p w14:paraId="3F31B178" w14:textId="77777777" w:rsidR="00D03CBA" w:rsidRDefault="00000000">
      <w:pPr>
        <w:jc w:val="both"/>
      </w:pPr>
      <w:r>
        <w:t>This paper asks: what integrated management architecture can help Nigerian industrial organisations improve reliability and resilience while advancing environmental performance? It synthesises official policy, international management-system standards and resilience principles into the RESTORE framework. The paper does not estimate national abatement, forecast firm performance or claim field validation.</w:t>
      </w:r>
    </w:p>
    <w:p w14:paraId="70721A6A" w14:textId="77777777" w:rsidR="00D03CBA" w:rsidRDefault="00000000">
      <w:pPr>
        <w:pStyle w:val="Heading1"/>
      </w:pPr>
      <w:r>
        <w:t>2. Review and Framework-Development Method</w:t>
      </w:r>
    </w:p>
    <w:p w14:paraId="646C3BD5" w14:textId="77777777" w:rsidR="00D03CBA" w:rsidRDefault="00000000">
      <w:pPr>
        <w:jc w:val="both"/>
      </w:pPr>
      <w:r>
        <w:t>An integrative policy and standards review was undertaken. Core sources were the Nigeria Energy Transition Plan, Nigeria's Long-Term Low-Emission Development Strategy, the World Bank Enterprise Survey electricity indicator and UNIDO material on inclusive and sustainable industrial development. ISO 14001, ISO 50001 and ISO 22301 supplied compatible management-system principles for environmental performance, energy and business continuity. Resilience and dynamic-capability literature informed adaptation and learning.</w:t>
      </w:r>
    </w:p>
    <w:p w14:paraId="274046CD" w14:textId="77777777" w:rsidR="00D03CBA" w:rsidRDefault="00000000">
      <w:pPr>
        <w:jc w:val="both"/>
      </w:pPr>
      <w:r>
        <w:t>Requirements were coded under reliability, efficiency, environmental control, continuity, data, circularity and workforce governance. Duplicated requirements were consolidated and arranged as a recurring portfolio cycle. The framework is intended for manufacturing and industrial-service settings; sector-specific safety, environmental and product rules still prevail.</w:t>
      </w:r>
    </w:p>
    <w:p w14:paraId="67E8F9F1" w14:textId="77777777" w:rsidR="00D03CBA" w:rsidRDefault="00000000">
      <w:pPr>
        <w:keepLines/>
        <w:jc w:val="center"/>
      </w:pPr>
      <w:r>
        <w:rPr>
          <w:noProof/>
        </w:rPr>
        <w:drawing>
          <wp:inline distT="0" distB="0" distL="0" distR="0" wp14:anchorId="3A883316" wp14:editId="161CAFFB">
            <wp:extent cx="5806440" cy="1451610"/>
            <wp:effectExtent l="0" t="0" r="0" b="0"/>
            <wp:docPr id="1" name="Picture 1" descr="Conceptual flow diagram titled RESTORE industrial transition cycle: Baseline, Prioritise, Engineer, Finance, Implement, Verify,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14_Engineering_RESTORE_Industrial_Transition.png"/>
                    <pic:cNvPicPr/>
                  </pic:nvPicPr>
                  <pic:blipFill>
                    <a:blip r:embed="rId8"/>
                    <a:stretch>
                      <a:fillRect/>
                    </a:stretch>
                  </pic:blipFill>
                  <pic:spPr>
                    <a:xfrm>
                      <a:off x="0" y="0"/>
                      <a:ext cx="5806440" cy="1451610"/>
                    </a:xfrm>
                    <a:prstGeom prst="rect">
                      <a:avLst/>
                    </a:prstGeom>
                  </pic:spPr>
                </pic:pic>
              </a:graphicData>
            </a:graphic>
          </wp:inline>
        </w:drawing>
      </w:r>
    </w:p>
    <w:p w14:paraId="6FC979B9" w14:textId="77777777" w:rsidR="00D03CBA" w:rsidRDefault="00000000">
      <w:pPr>
        <w:pStyle w:val="Caption"/>
        <w:jc w:val="center"/>
      </w:pPr>
      <w:r>
        <w:t>Figure 1. RESTORE industrial transition cycle.</w:t>
      </w:r>
    </w:p>
    <w:p w14:paraId="1F4FB2FB" w14:textId="77777777" w:rsidR="00D03CBA" w:rsidRDefault="00000000">
      <w:pPr>
        <w:pStyle w:val="EditorialNote"/>
        <w:jc w:val="center"/>
      </w:pPr>
      <w:r>
        <w:t>Note. Original conceptual diagram developed for this paper; the sequence is iterative and has not been validated as a measurement scale.</w:t>
      </w:r>
    </w:p>
    <w:p w14:paraId="4F921BED" w14:textId="77777777" w:rsidR="00D03CBA" w:rsidRDefault="00000000">
      <w:pPr>
        <w:pStyle w:val="Heading1"/>
      </w:pPr>
      <w:r>
        <w:t>3. Coupled Industrial Risks</w:t>
      </w:r>
    </w:p>
    <w:p w14:paraId="33463DA6" w14:textId="77777777" w:rsidR="00D03CBA" w:rsidRDefault="00000000">
      <w:pPr>
        <w:pStyle w:val="Heading1"/>
      </w:pPr>
      <w:r>
        <w:t>3.1 Energy reliability and decarbonisation</w:t>
      </w:r>
    </w:p>
    <w:p w14:paraId="28B7C805" w14:textId="77777777" w:rsidR="00D03CBA" w:rsidRDefault="00000000">
      <w:pPr>
        <w:jc w:val="both"/>
      </w:pPr>
      <w:r>
        <w:t>A plant that replaces grid interruptions with uncontrolled diesel generation may improve short-run availability while increasing fuel cost, maintenance exposure, local pollution and carbon intensity. Conversely, a renewable project without storage, protection coordination, load management and maintenance planning may fail to support critical processes. The engineering problem is multi-objective: meet power-quality and availability requirements at acceptable lifecycle cost and emissions.</w:t>
      </w:r>
    </w:p>
    <w:p w14:paraId="2D8142EE" w14:textId="77777777" w:rsidR="00D03CBA" w:rsidRDefault="00000000">
      <w:pPr>
        <w:pStyle w:val="Heading1"/>
      </w:pPr>
      <w:r>
        <w:lastRenderedPageBreak/>
        <w:t>3.2 Materials, waste and supply continuity</w:t>
      </w:r>
    </w:p>
    <w:p w14:paraId="52F17981" w14:textId="77777777" w:rsidR="00D03CBA" w:rsidRDefault="00000000">
      <w:pPr>
        <w:jc w:val="both"/>
      </w:pPr>
      <w:r>
        <w:t>Material efficiency reduces both environmental burden and exposure to volatile input prices. Yet circularity claims require mass balance, contaminant control, product-quality assurance and viable recovery logistics. Substituting recycled feedstock without process qualification can create defects or safety risks. Firms should map critical materials, yield losses, scrap, water, packaging and end-of-life routes before selecting recovery projects.</w:t>
      </w:r>
    </w:p>
    <w:p w14:paraId="14CF29ED" w14:textId="77777777" w:rsidR="00D03CBA" w:rsidRDefault="00000000">
      <w:pPr>
        <w:pStyle w:val="Heading1"/>
      </w:pPr>
      <w:r>
        <w:t>3.3 Technology, maintenance and workforce</w:t>
      </w:r>
    </w:p>
    <w:p w14:paraId="6A881753" w14:textId="77777777" w:rsidR="00D03CBA" w:rsidRDefault="00000000">
      <w:pPr>
        <w:jc w:val="both"/>
      </w:pPr>
      <w:r>
        <w:t>Digital monitoring can reveal energy loss, quality drift and impending failure, but value depends on calibrated sensors, cybersecurity, data ownership, technician capability and action thresholds. An imported system that cannot be maintained locally is not resilient. Capital approval should include training, documentation, spares, vendor exit, software support and manual fallback.</w:t>
      </w:r>
    </w:p>
    <w:p w14:paraId="01F3CE22" w14:textId="77777777" w:rsidR="00D03CBA" w:rsidRDefault="00000000">
      <w:pPr>
        <w:pStyle w:val="Heading1"/>
      </w:pPr>
      <w:r>
        <w:t>4. The RESTORE Framework</w:t>
      </w:r>
    </w:p>
    <w:p w14:paraId="01378EF3" w14:textId="77777777" w:rsidR="00D03CBA" w:rsidRDefault="00000000">
      <w:pPr>
        <w:pStyle w:val="Caption"/>
      </w:pPr>
      <w:r>
        <w:t>Table 1. RESTORE dimensions</w:t>
      </w:r>
    </w:p>
    <w:tbl>
      <w:tblPr>
        <w:tblW w:w="9360" w:type="dxa"/>
        <w:tblBorders>
          <w:top w:val="single" w:sz="4" w:space="0" w:color="C6D0E1"/>
          <w:left w:val="single" w:sz="4" w:space="0" w:color="C6D0E1"/>
          <w:bottom w:val="single" w:sz="4" w:space="0" w:color="C6D0E1"/>
          <w:right w:val="single" w:sz="4" w:space="0" w:color="C6D0E1"/>
          <w:insideH w:val="single" w:sz="4" w:space="0" w:color="C6D0E1"/>
          <w:insideV w:val="single" w:sz="4" w:space="0" w:color="C6D0E1"/>
        </w:tblBorders>
        <w:tblLayout w:type="fixed"/>
        <w:tblLook w:val="04A0" w:firstRow="1" w:lastRow="0" w:firstColumn="1" w:lastColumn="0" w:noHBand="0" w:noVBand="1"/>
      </w:tblPr>
      <w:tblGrid>
        <w:gridCol w:w="2100"/>
        <w:gridCol w:w="4100"/>
        <w:gridCol w:w="3160"/>
      </w:tblGrid>
      <w:tr w:rsidR="00D03CBA" w14:paraId="34DBF76B" w14:textId="77777777">
        <w:trPr>
          <w:cantSplit/>
          <w:tblHeader/>
        </w:trPr>
        <w:tc>
          <w:tcPr>
            <w:tcW w:w="2100" w:type="dxa"/>
            <w:shd w:val="clear" w:color="auto" w:fill="071A45"/>
            <w:tcMar>
              <w:top w:w="80" w:type="dxa"/>
              <w:left w:w="110" w:type="dxa"/>
              <w:bottom w:w="80" w:type="dxa"/>
              <w:right w:w="110" w:type="dxa"/>
            </w:tcMar>
            <w:vAlign w:val="center"/>
          </w:tcPr>
          <w:p w14:paraId="4B73B448" w14:textId="77777777" w:rsidR="00D03CBA" w:rsidRDefault="00000000">
            <w:pPr>
              <w:spacing w:after="0" w:line="245" w:lineRule="auto"/>
            </w:pPr>
            <w:r>
              <w:rPr>
                <w:b/>
                <w:color w:val="FFFFFF"/>
                <w:sz w:val="15"/>
              </w:rPr>
              <w:t>Dimension</w:t>
            </w:r>
          </w:p>
        </w:tc>
        <w:tc>
          <w:tcPr>
            <w:tcW w:w="4100" w:type="dxa"/>
            <w:shd w:val="clear" w:color="auto" w:fill="071A45"/>
            <w:tcMar>
              <w:top w:w="80" w:type="dxa"/>
              <w:left w:w="110" w:type="dxa"/>
              <w:bottom w:w="80" w:type="dxa"/>
              <w:right w:w="110" w:type="dxa"/>
            </w:tcMar>
            <w:vAlign w:val="center"/>
          </w:tcPr>
          <w:p w14:paraId="30D7FAE1" w14:textId="77777777" w:rsidR="00D03CBA" w:rsidRDefault="00000000">
            <w:pPr>
              <w:spacing w:after="0" w:line="245" w:lineRule="auto"/>
            </w:pPr>
            <w:r>
              <w:rPr>
                <w:b/>
                <w:color w:val="FFFFFF"/>
                <w:sz w:val="15"/>
              </w:rPr>
              <w:t>Engineering question</w:t>
            </w:r>
          </w:p>
        </w:tc>
        <w:tc>
          <w:tcPr>
            <w:tcW w:w="3160" w:type="dxa"/>
            <w:shd w:val="clear" w:color="auto" w:fill="071A45"/>
            <w:tcMar>
              <w:top w:w="80" w:type="dxa"/>
              <w:left w:w="110" w:type="dxa"/>
              <w:bottom w:w="80" w:type="dxa"/>
              <w:right w:w="110" w:type="dxa"/>
            </w:tcMar>
            <w:vAlign w:val="center"/>
          </w:tcPr>
          <w:p w14:paraId="68C05078" w14:textId="77777777" w:rsidR="00D03CBA" w:rsidRDefault="00000000">
            <w:pPr>
              <w:spacing w:after="0" w:line="245" w:lineRule="auto"/>
            </w:pPr>
            <w:r>
              <w:rPr>
                <w:b/>
                <w:color w:val="FFFFFF"/>
                <w:sz w:val="15"/>
              </w:rPr>
              <w:t>Evidence</w:t>
            </w:r>
          </w:p>
        </w:tc>
      </w:tr>
      <w:tr w:rsidR="00D03CBA" w14:paraId="45570FC0" w14:textId="77777777">
        <w:trPr>
          <w:cantSplit/>
        </w:trPr>
        <w:tc>
          <w:tcPr>
            <w:tcW w:w="2100" w:type="dxa"/>
            <w:shd w:val="clear" w:color="auto" w:fill="FFFFFF"/>
            <w:tcMar>
              <w:top w:w="80" w:type="dxa"/>
              <w:left w:w="110" w:type="dxa"/>
              <w:bottom w:w="80" w:type="dxa"/>
              <w:right w:w="110" w:type="dxa"/>
            </w:tcMar>
            <w:vAlign w:val="center"/>
          </w:tcPr>
          <w:p w14:paraId="75AF85F4" w14:textId="77777777" w:rsidR="00D03CBA" w:rsidRDefault="00000000">
            <w:pPr>
              <w:spacing w:after="0" w:line="245" w:lineRule="auto"/>
            </w:pPr>
            <w:r>
              <w:rPr>
                <w:sz w:val="15"/>
              </w:rPr>
              <w:t>R — Reliability</w:t>
            </w:r>
          </w:p>
        </w:tc>
        <w:tc>
          <w:tcPr>
            <w:tcW w:w="4100" w:type="dxa"/>
            <w:shd w:val="clear" w:color="auto" w:fill="FFFFFF"/>
            <w:tcMar>
              <w:top w:w="80" w:type="dxa"/>
              <w:left w:w="110" w:type="dxa"/>
              <w:bottom w:w="80" w:type="dxa"/>
              <w:right w:w="110" w:type="dxa"/>
            </w:tcMar>
            <w:vAlign w:val="center"/>
          </w:tcPr>
          <w:p w14:paraId="69B2E9C8" w14:textId="77777777" w:rsidR="00D03CBA" w:rsidRDefault="00000000">
            <w:pPr>
              <w:spacing w:after="0" w:line="245" w:lineRule="auto"/>
            </w:pPr>
            <w:r>
              <w:rPr>
                <w:sz w:val="15"/>
              </w:rPr>
              <w:t>Which utilities and assets are critical, and what availability and quality are required?</w:t>
            </w:r>
          </w:p>
        </w:tc>
        <w:tc>
          <w:tcPr>
            <w:tcW w:w="3160" w:type="dxa"/>
            <w:shd w:val="clear" w:color="auto" w:fill="FFFFFF"/>
            <w:tcMar>
              <w:top w:w="80" w:type="dxa"/>
              <w:left w:w="110" w:type="dxa"/>
              <w:bottom w:w="80" w:type="dxa"/>
              <w:right w:w="110" w:type="dxa"/>
            </w:tcMar>
            <w:vAlign w:val="center"/>
          </w:tcPr>
          <w:p w14:paraId="0FBF9F83" w14:textId="77777777" w:rsidR="00D03CBA" w:rsidRDefault="00000000">
            <w:pPr>
              <w:spacing w:after="0" w:line="245" w:lineRule="auto"/>
            </w:pPr>
            <w:r>
              <w:rPr>
                <w:sz w:val="15"/>
              </w:rPr>
              <w:t>Load profile, failure history, criticality and redundancy tests</w:t>
            </w:r>
          </w:p>
        </w:tc>
      </w:tr>
      <w:tr w:rsidR="00D03CBA" w14:paraId="0A00699F" w14:textId="77777777">
        <w:trPr>
          <w:cantSplit/>
        </w:trPr>
        <w:tc>
          <w:tcPr>
            <w:tcW w:w="2100" w:type="dxa"/>
            <w:shd w:val="clear" w:color="auto" w:fill="F4F7FF"/>
            <w:tcMar>
              <w:top w:w="80" w:type="dxa"/>
              <w:left w:w="110" w:type="dxa"/>
              <w:bottom w:w="80" w:type="dxa"/>
              <w:right w:w="110" w:type="dxa"/>
            </w:tcMar>
            <w:vAlign w:val="center"/>
          </w:tcPr>
          <w:p w14:paraId="38040434" w14:textId="77777777" w:rsidR="00D03CBA" w:rsidRDefault="00000000">
            <w:pPr>
              <w:spacing w:after="0" w:line="245" w:lineRule="auto"/>
            </w:pPr>
            <w:r>
              <w:rPr>
                <w:sz w:val="15"/>
              </w:rPr>
              <w:t>E — Efficiency and emissions</w:t>
            </w:r>
          </w:p>
        </w:tc>
        <w:tc>
          <w:tcPr>
            <w:tcW w:w="4100" w:type="dxa"/>
            <w:shd w:val="clear" w:color="auto" w:fill="F4F7FF"/>
            <w:tcMar>
              <w:top w:w="80" w:type="dxa"/>
              <w:left w:w="110" w:type="dxa"/>
              <w:bottom w:w="80" w:type="dxa"/>
              <w:right w:w="110" w:type="dxa"/>
            </w:tcMar>
            <w:vAlign w:val="center"/>
          </w:tcPr>
          <w:p w14:paraId="0D22155C" w14:textId="77777777" w:rsidR="00D03CBA" w:rsidRDefault="00000000">
            <w:pPr>
              <w:spacing w:after="0" w:line="245" w:lineRule="auto"/>
            </w:pPr>
            <w:r>
              <w:rPr>
                <w:sz w:val="15"/>
              </w:rPr>
              <w:t>Where are avoidable energy, water, yield and emission losses?</w:t>
            </w:r>
          </w:p>
        </w:tc>
        <w:tc>
          <w:tcPr>
            <w:tcW w:w="3160" w:type="dxa"/>
            <w:shd w:val="clear" w:color="auto" w:fill="F4F7FF"/>
            <w:tcMar>
              <w:top w:w="80" w:type="dxa"/>
              <w:left w:w="110" w:type="dxa"/>
              <w:bottom w:w="80" w:type="dxa"/>
              <w:right w:w="110" w:type="dxa"/>
            </w:tcMar>
            <w:vAlign w:val="center"/>
          </w:tcPr>
          <w:p w14:paraId="6F9A356C" w14:textId="77777777" w:rsidR="00D03CBA" w:rsidRDefault="00000000">
            <w:pPr>
              <w:spacing w:after="0" w:line="245" w:lineRule="auto"/>
            </w:pPr>
            <w:r>
              <w:rPr>
                <w:sz w:val="15"/>
              </w:rPr>
              <w:t>Metered baseline, mass balance and verified savings</w:t>
            </w:r>
          </w:p>
        </w:tc>
      </w:tr>
      <w:tr w:rsidR="00D03CBA" w14:paraId="62C09B8E" w14:textId="77777777">
        <w:trPr>
          <w:cantSplit/>
        </w:trPr>
        <w:tc>
          <w:tcPr>
            <w:tcW w:w="2100" w:type="dxa"/>
            <w:shd w:val="clear" w:color="auto" w:fill="FFFFFF"/>
            <w:tcMar>
              <w:top w:w="80" w:type="dxa"/>
              <w:left w:w="110" w:type="dxa"/>
              <w:bottom w:w="80" w:type="dxa"/>
              <w:right w:w="110" w:type="dxa"/>
            </w:tcMar>
            <w:vAlign w:val="center"/>
          </w:tcPr>
          <w:p w14:paraId="4CE0B621" w14:textId="77777777" w:rsidR="00D03CBA" w:rsidRDefault="00000000">
            <w:pPr>
              <w:spacing w:after="0" w:line="245" w:lineRule="auto"/>
            </w:pPr>
            <w:r>
              <w:rPr>
                <w:sz w:val="15"/>
              </w:rPr>
              <w:t>S — Standards and safety</w:t>
            </w:r>
          </w:p>
        </w:tc>
        <w:tc>
          <w:tcPr>
            <w:tcW w:w="4100" w:type="dxa"/>
            <w:shd w:val="clear" w:color="auto" w:fill="FFFFFF"/>
            <w:tcMar>
              <w:top w:w="80" w:type="dxa"/>
              <w:left w:w="110" w:type="dxa"/>
              <w:bottom w:w="80" w:type="dxa"/>
              <w:right w:w="110" w:type="dxa"/>
            </w:tcMar>
            <w:vAlign w:val="center"/>
          </w:tcPr>
          <w:p w14:paraId="63B7E0C2" w14:textId="77777777" w:rsidR="00D03CBA" w:rsidRDefault="00000000">
            <w:pPr>
              <w:spacing w:after="0" w:line="245" w:lineRule="auto"/>
            </w:pPr>
            <w:r>
              <w:rPr>
                <w:sz w:val="15"/>
              </w:rPr>
              <w:t>Which legal, technical and management controls govern the change?</w:t>
            </w:r>
          </w:p>
        </w:tc>
        <w:tc>
          <w:tcPr>
            <w:tcW w:w="3160" w:type="dxa"/>
            <w:shd w:val="clear" w:color="auto" w:fill="FFFFFF"/>
            <w:tcMar>
              <w:top w:w="80" w:type="dxa"/>
              <w:left w:w="110" w:type="dxa"/>
              <w:bottom w:w="80" w:type="dxa"/>
              <w:right w:w="110" w:type="dxa"/>
            </w:tcMar>
            <w:vAlign w:val="center"/>
          </w:tcPr>
          <w:p w14:paraId="20366B57" w14:textId="77777777" w:rsidR="00D03CBA" w:rsidRDefault="00000000">
            <w:pPr>
              <w:spacing w:after="0" w:line="245" w:lineRule="auto"/>
            </w:pPr>
            <w:r>
              <w:rPr>
                <w:sz w:val="15"/>
              </w:rPr>
              <w:t>Compliance register, hazard review and controlled procedures</w:t>
            </w:r>
          </w:p>
        </w:tc>
      </w:tr>
      <w:tr w:rsidR="00D03CBA" w14:paraId="151A4B56" w14:textId="77777777">
        <w:trPr>
          <w:cantSplit/>
        </w:trPr>
        <w:tc>
          <w:tcPr>
            <w:tcW w:w="2100" w:type="dxa"/>
            <w:shd w:val="clear" w:color="auto" w:fill="F4F7FF"/>
            <w:tcMar>
              <w:top w:w="80" w:type="dxa"/>
              <w:left w:w="110" w:type="dxa"/>
              <w:bottom w:w="80" w:type="dxa"/>
              <w:right w:w="110" w:type="dxa"/>
            </w:tcMar>
            <w:vAlign w:val="center"/>
          </w:tcPr>
          <w:p w14:paraId="121C8436" w14:textId="77777777" w:rsidR="00D03CBA" w:rsidRDefault="00000000">
            <w:pPr>
              <w:spacing w:after="0" w:line="245" w:lineRule="auto"/>
            </w:pPr>
            <w:r>
              <w:rPr>
                <w:sz w:val="15"/>
              </w:rPr>
              <w:t>T — Traceability</w:t>
            </w:r>
          </w:p>
        </w:tc>
        <w:tc>
          <w:tcPr>
            <w:tcW w:w="4100" w:type="dxa"/>
            <w:shd w:val="clear" w:color="auto" w:fill="F4F7FF"/>
            <w:tcMar>
              <w:top w:w="80" w:type="dxa"/>
              <w:left w:w="110" w:type="dxa"/>
              <w:bottom w:w="80" w:type="dxa"/>
              <w:right w:w="110" w:type="dxa"/>
            </w:tcMar>
            <w:vAlign w:val="center"/>
          </w:tcPr>
          <w:p w14:paraId="6B08B520" w14:textId="77777777" w:rsidR="00D03CBA" w:rsidRDefault="00000000">
            <w:pPr>
              <w:spacing w:after="0" w:line="245" w:lineRule="auto"/>
            </w:pPr>
            <w:r>
              <w:rPr>
                <w:sz w:val="15"/>
              </w:rPr>
              <w:t>Can inputs, conditions, outputs and decisions be reconstructed?</w:t>
            </w:r>
          </w:p>
        </w:tc>
        <w:tc>
          <w:tcPr>
            <w:tcW w:w="3160" w:type="dxa"/>
            <w:shd w:val="clear" w:color="auto" w:fill="F4F7FF"/>
            <w:tcMar>
              <w:top w:w="80" w:type="dxa"/>
              <w:left w:w="110" w:type="dxa"/>
              <w:bottom w:w="80" w:type="dxa"/>
              <w:right w:w="110" w:type="dxa"/>
            </w:tcMar>
            <w:vAlign w:val="center"/>
          </w:tcPr>
          <w:p w14:paraId="48197E97" w14:textId="77777777" w:rsidR="00D03CBA" w:rsidRDefault="00000000">
            <w:pPr>
              <w:spacing w:after="0" w:line="245" w:lineRule="auto"/>
            </w:pPr>
            <w:r>
              <w:rPr>
                <w:sz w:val="15"/>
              </w:rPr>
              <w:t>Calibrated data, batch records, model/version history</w:t>
            </w:r>
          </w:p>
        </w:tc>
      </w:tr>
      <w:tr w:rsidR="00D03CBA" w14:paraId="3742346B" w14:textId="77777777">
        <w:trPr>
          <w:cantSplit/>
        </w:trPr>
        <w:tc>
          <w:tcPr>
            <w:tcW w:w="2100" w:type="dxa"/>
            <w:shd w:val="clear" w:color="auto" w:fill="FFFFFF"/>
            <w:tcMar>
              <w:top w:w="80" w:type="dxa"/>
              <w:left w:w="110" w:type="dxa"/>
              <w:bottom w:w="80" w:type="dxa"/>
              <w:right w:w="110" w:type="dxa"/>
            </w:tcMar>
            <w:vAlign w:val="center"/>
          </w:tcPr>
          <w:p w14:paraId="2CC8EBF9" w14:textId="77777777" w:rsidR="00D03CBA" w:rsidRDefault="00000000">
            <w:pPr>
              <w:spacing w:after="0" w:line="245" w:lineRule="auto"/>
            </w:pPr>
            <w:r>
              <w:rPr>
                <w:sz w:val="15"/>
              </w:rPr>
              <w:t>O — Operational continuity</w:t>
            </w:r>
          </w:p>
        </w:tc>
        <w:tc>
          <w:tcPr>
            <w:tcW w:w="4100" w:type="dxa"/>
            <w:shd w:val="clear" w:color="auto" w:fill="FFFFFF"/>
            <w:tcMar>
              <w:top w:w="80" w:type="dxa"/>
              <w:left w:w="110" w:type="dxa"/>
              <w:bottom w:w="80" w:type="dxa"/>
              <w:right w:w="110" w:type="dxa"/>
            </w:tcMar>
            <w:vAlign w:val="center"/>
          </w:tcPr>
          <w:p w14:paraId="33117F1B" w14:textId="77777777" w:rsidR="00D03CBA" w:rsidRDefault="00000000">
            <w:pPr>
              <w:spacing w:after="0" w:line="245" w:lineRule="auto"/>
            </w:pPr>
            <w:r>
              <w:rPr>
                <w:sz w:val="15"/>
              </w:rPr>
              <w:t>How will the plant respond to outage, hazard or supplier loss?</w:t>
            </w:r>
          </w:p>
        </w:tc>
        <w:tc>
          <w:tcPr>
            <w:tcW w:w="3160" w:type="dxa"/>
            <w:shd w:val="clear" w:color="auto" w:fill="FFFFFF"/>
            <w:tcMar>
              <w:top w:w="80" w:type="dxa"/>
              <w:left w:w="110" w:type="dxa"/>
              <w:bottom w:w="80" w:type="dxa"/>
              <w:right w:w="110" w:type="dxa"/>
            </w:tcMar>
            <w:vAlign w:val="center"/>
          </w:tcPr>
          <w:p w14:paraId="41460BDF" w14:textId="77777777" w:rsidR="00D03CBA" w:rsidRDefault="00000000">
            <w:pPr>
              <w:spacing w:after="0" w:line="245" w:lineRule="auto"/>
            </w:pPr>
            <w:r>
              <w:rPr>
                <w:sz w:val="15"/>
              </w:rPr>
              <w:t>Business-impact analysis, response plans and exercises</w:t>
            </w:r>
          </w:p>
        </w:tc>
      </w:tr>
      <w:tr w:rsidR="00D03CBA" w14:paraId="698D32A9" w14:textId="77777777">
        <w:trPr>
          <w:cantSplit/>
        </w:trPr>
        <w:tc>
          <w:tcPr>
            <w:tcW w:w="2100" w:type="dxa"/>
            <w:shd w:val="clear" w:color="auto" w:fill="F4F7FF"/>
            <w:tcMar>
              <w:top w:w="80" w:type="dxa"/>
              <w:left w:w="110" w:type="dxa"/>
              <w:bottom w:w="80" w:type="dxa"/>
              <w:right w:w="110" w:type="dxa"/>
            </w:tcMar>
            <w:vAlign w:val="center"/>
          </w:tcPr>
          <w:p w14:paraId="01E1AE83" w14:textId="77777777" w:rsidR="00D03CBA" w:rsidRDefault="00000000">
            <w:pPr>
              <w:spacing w:after="0" w:line="245" w:lineRule="auto"/>
            </w:pPr>
            <w:r>
              <w:rPr>
                <w:sz w:val="15"/>
              </w:rPr>
              <w:t>R — Resource circularity</w:t>
            </w:r>
          </w:p>
        </w:tc>
        <w:tc>
          <w:tcPr>
            <w:tcW w:w="4100" w:type="dxa"/>
            <w:shd w:val="clear" w:color="auto" w:fill="F4F7FF"/>
            <w:tcMar>
              <w:top w:w="80" w:type="dxa"/>
              <w:left w:w="110" w:type="dxa"/>
              <w:bottom w:w="80" w:type="dxa"/>
              <w:right w:w="110" w:type="dxa"/>
            </w:tcMar>
            <w:vAlign w:val="center"/>
          </w:tcPr>
          <w:p w14:paraId="49F08F90" w14:textId="77777777" w:rsidR="00D03CBA" w:rsidRDefault="00000000">
            <w:pPr>
              <w:spacing w:after="0" w:line="245" w:lineRule="auto"/>
            </w:pPr>
            <w:r>
              <w:rPr>
                <w:sz w:val="15"/>
              </w:rPr>
              <w:t>Can value be retained without degrading safety or quality?</w:t>
            </w:r>
          </w:p>
        </w:tc>
        <w:tc>
          <w:tcPr>
            <w:tcW w:w="3160" w:type="dxa"/>
            <w:shd w:val="clear" w:color="auto" w:fill="F4F7FF"/>
            <w:tcMar>
              <w:top w:w="80" w:type="dxa"/>
              <w:left w:w="110" w:type="dxa"/>
              <w:bottom w:w="80" w:type="dxa"/>
              <w:right w:w="110" w:type="dxa"/>
            </w:tcMar>
            <w:vAlign w:val="center"/>
          </w:tcPr>
          <w:p w14:paraId="2CC05518" w14:textId="77777777" w:rsidR="00D03CBA" w:rsidRDefault="00000000">
            <w:pPr>
              <w:spacing w:after="0" w:line="245" w:lineRule="auto"/>
            </w:pPr>
            <w:r>
              <w:rPr>
                <w:sz w:val="15"/>
              </w:rPr>
              <w:t>Material flow, qualification, recovery yield and market route</w:t>
            </w:r>
          </w:p>
        </w:tc>
      </w:tr>
      <w:tr w:rsidR="00D03CBA" w14:paraId="6CE2BC74" w14:textId="77777777">
        <w:trPr>
          <w:cantSplit/>
        </w:trPr>
        <w:tc>
          <w:tcPr>
            <w:tcW w:w="2100" w:type="dxa"/>
            <w:shd w:val="clear" w:color="auto" w:fill="FFFFFF"/>
            <w:tcMar>
              <w:top w:w="80" w:type="dxa"/>
              <w:left w:w="110" w:type="dxa"/>
              <w:bottom w:w="80" w:type="dxa"/>
              <w:right w:w="110" w:type="dxa"/>
            </w:tcMar>
            <w:vAlign w:val="center"/>
          </w:tcPr>
          <w:p w14:paraId="68DD7F65" w14:textId="77777777" w:rsidR="00D03CBA" w:rsidRDefault="00000000">
            <w:pPr>
              <w:spacing w:after="0" w:line="245" w:lineRule="auto"/>
            </w:pPr>
            <w:r>
              <w:rPr>
                <w:sz w:val="15"/>
              </w:rPr>
              <w:t>E — Equity and skills</w:t>
            </w:r>
          </w:p>
        </w:tc>
        <w:tc>
          <w:tcPr>
            <w:tcW w:w="4100" w:type="dxa"/>
            <w:shd w:val="clear" w:color="auto" w:fill="FFFFFF"/>
            <w:tcMar>
              <w:top w:w="80" w:type="dxa"/>
              <w:left w:w="110" w:type="dxa"/>
              <w:bottom w:w="80" w:type="dxa"/>
              <w:right w:w="110" w:type="dxa"/>
            </w:tcMar>
            <w:vAlign w:val="center"/>
          </w:tcPr>
          <w:p w14:paraId="146D2527" w14:textId="77777777" w:rsidR="00D03CBA" w:rsidRDefault="00000000">
            <w:pPr>
              <w:spacing w:after="0" w:line="245" w:lineRule="auto"/>
            </w:pPr>
            <w:r>
              <w:rPr>
                <w:sz w:val="15"/>
              </w:rPr>
              <w:t>Who bears cost and risk, and which capabilities and jobs are affected?</w:t>
            </w:r>
          </w:p>
        </w:tc>
        <w:tc>
          <w:tcPr>
            <w:tcW w:w="3160" w:type="dxa"/>
            <w:shd w:val="clear" w:color="auto" w:fill="FFFFFF"/>
            <w:tcMar>
              <w:top w:w="80" w:type="dxa"/>
              <w:left w:w="110" w:type="dxa"/>
              <w:bottom w:w="80" w:type="dxa"/>
              <w:right w:w="110" w:type="dxa"/>
            </w:tcMar>
            <w:vAlign w:val="center"/>
          </w:tcPr>
          <w:p w14:paraId="3A370C61" w14:textId="77777777" w:rsidR="00D03CBA" w:rsidRDefault="00000000">
            <w:pPr>
              <w:spacing w:after="0" w:line="245" w:lineRule="auto"/>
            </w:pPr>
            <w:r>
              <w:rPr>
                <w:sz w:val="15"/>
              </w:rPr>
              <w:t>Training plan, consultation, labour and community indicators</w:t>
            </w:r>
          </w:p>
        </w:tc>
      </w:tr>
    </w:tbl>
    <w:p w14:paraId="51649877" w14:textId="77777777" w:rsidR="00D03CBA" w:rsidRDefault="00000000">
      <w:pPr>
        <w:pStyle w:val="EditorialNote"/>
      </w:pPr>
      <w:r>
        <w:t>Note. Authors' synthesis unless otherwise stated; application requires context-specific evidence and professional judgment.</w:t>
      </w:r>
    </w:p>
    <w:p w14:paraId="1B39DD7B" w14:textId="77777777" w:rsidR="00D03CBA" w:rsidRDefault="00000000">
      <w:pPr>
        <w:jc w:val="both"/>
      </w:pPr>
      <w:r>
        <w:t>The dimensions are interdependent. Reliability determines whether electrification can support production. Traceability determines whether efficiency savings are credible. Standards and safety bound circular-material substitution. Equity and skills determine whether a technically sound project can be maintained and socially sustained.</w:t>
      </w:r>
    </w:p>
    <w:p w14:paraId="15F27FC4" w14:textId="77777777" w:rsidR="00D03CBA" w:rsidRDefault="00000000">
      <w:pPr>
        <w:pStyle w:val="Heading1"/>
      </w:pPr>
      <w:r>
        <w:t>5. Portfolio Implementation</w:t>
      </w:r>
    </w:p>
    <w:p w14:paraId="131C5201" w14:textId="77777777" w:rsidR="00D03CBA" w:rsidRDefault="00000000">
      <w:pPr>
        <w:pStyle w:val="Heading1"/>
      </w:pPr>
      <w:r>
        <w:t>5.1 Baseline and criticality</w:t>
      </w:r>
    </w:p>
    <w:p w14:paraId="4082B4FF" w14:textId="77777777" w:rsidR="00D03CBA" w:rsidRDefault="00000000">
      <w:pPr>
        <w:jc w:val="both"/>
      </w:pPr>
      <w:r>
        <w:t>The first deliverable is a controlled baseline: process map, critical assets, utility and material flows, emissions boundary, failure history, hazards, supplier dependencies and workforce capability. Metering should reflect decision needs. A monthly electricity bill cannot identify a compressor leak or production-line peak; excessive sensor deployment without data stewardship is equally wasteful.</w:t>
      </w:r>
    </w:p>
    <w:p w14:paraId="71668329" w14:textId="77777777" w:rsidR="00D03CBA" w:rsidRDefault="00000000">
      <w:pPr>
        <w:pStyle w:val="Heading1"/>
      </w:pPr>
      <w:r>
        <w:lastRenderedPageBreak/>
        <w:t>5.2 Prioritisation and engineering design</w:t>
      </w:r>
    </w:p>
    <w:p w14:paraId="04C2A4A6" w14:textId="77777777" w:rsidR="00D03CBA" w:rsidRDefault="00000000">
      <w:pPr>
        <w:jc w:val="both"/>
      </w:pPr>
      <w:r>
        <w:t>Projects should be compared against a common reference case using lifecycle cost, production loss avoided, energy and material savings, emissions, safety, maintainability and implementation risk. No-regret measures may include maintenance restoration, power-factor correction, leak repair, insulation, process control, preventive spares and operating discipline. Larger projects—solar and storage, waste-heat recovery, fuel switching, electrification or closed-loop materials—require scenario and sensitivity analysis.</w:t>
      </w:r>
    </w:p>
    <w:p w14:paraId="3A332562" w14:textId="77777777" w:rsidR="00D03CBA" w:rsidRDefault="00000000">
      <w:pPr>
        <w:pStyle w:val="Caption"/>
      </w:pPr>
      <w:r>
        <w:t>Table 2. Stage-gate investment test</w:t>
      </w:r>
    </w:p>
    <w:tbl>
      <w:tblPr>
        <w:tblW w:w="9360" w:type="dxa"/>
        <w:tblBorders>
          <w:top w:val="single" w:sz="4" w:space="0" w:color="C6D0E1"/>
          <w:left w:val="single" w:sz="4" w:space="0" w:color="C6D0E1"/>
          <w:bottom w:val="single" w:sz="4" w:space="0" w:color="C6D0E1"/>
          <w:right w:val="single" w:sz="4" w:space="0" w:color="C6D0E1"/>
          <w:insideH w:val="single" w:sz="4" w:space="0" w:color="C6D0E1"/>
          <w:insideV w:val="single" w:sz="4" w:space="0" w:color="C6D0E1"/>
        </w:tblBorders>
        <w:tblLayout w:type="fixed"/>
        <w:tblLook w:val="04A0" w:firstRow="1" w:lastRow="0" w:firstColumn="1" w:lastColumn="0" w:noHBand="0" w:noVBand="1"/>
      </w:tblPr>
      <w:tblGrid>
        <w:gridCol w:w="1800"/>
        <w:gridCol w:w="4600"/>
        <w:gridCol w:w="2960"/>
      </w:tblGrid>
      <w:tr w:rsidR="00D03CBA" w14:paraId="01FE552D" w14:textId="77777777">
        <w:trPr>
          <w:cantSplit/>
          <w:tblHeader/>
        </w:trPr>
        <w:tc>
          <w:tcPr>
            <w:tcW w:w="1800" w:type="dxa"/>
            <w:shd w:val="clear" w:color="auto" w:fill="071A45"/>
            <w:tcMar>
              <w:top w:w="80" w:type="dxa"/>
              <w:left w:w="110" w:type="dxa"/>
              <w:bottom w:w="80" w:type="dxa"/>
              <w:right w:w="110" w:type="dxa"/>
            </w:tcMar>
            <w:vAlign w:val="center"/>
          </w:tcPr>
          <w:p w14:paraId="572DF977" w14:textId="77777777" w:rsidR="00D03CBA" w:rsidRDefault="00000000">
            <w:pPr>
              <w:spacing w:after="0" w:line="245" w:lineRule="auto"/>
            </w:pPr>
            <w:r>
              <w:rPr>
                <w:b/>
                <w:color w:val="FFFFFF"/>
                <w:sz w:val="15"/>
              </w:rPr>
              <w:t>Gate</w:t>
            </w:r>
          </w:p>
        </w:tc>
        <w:tc>
          <w:tcPr>
            <w:tcW w:w="4600" w:type="dxa"/>
            <w:shd w:val="clear" w:color="auto" w:fill="071A45"/>
            <w:tcMar>
              <w:top w:w="80" w:type="dxa"/>
              <w:left w:w="110" w:type="dxa"/>
              <w:bottom w:w="80" w:type="dxa"/>
              <w:right w:w="110" w:type="dxa"/>
            </w:tcMar>
            <w:vAlign w:val="center"/>
          </w:tcPr>
          <w:p w14:paraId="19C83468" w14:textId="77777777" w:rsidR="00D03CBA" w:rsidRDefault="00000000">
            <w:pPr>
              <w:spacing w:after="0" w:line="245" w:lineRule="auto"/>
            </w:pPr>
            <w:r>
              <w:rPr>
                <w:b/>
                <w:color w:val="FFFFFF"/>
                <w:sz w:val="15"/>
              </w:rPr>
              <w:t>Decision evidence</w:t>
            </w:r>
          </w:p>
        </w:tc>
        <w:tc>
          <w:tcPr>
            <w:tcW w:w="2960" w:type="dxa"/>
            <w:shd w:val="clear" w:color="auto" w:fill="071A45"/>
            <w:tcMar>
              <w:top w:w="80" w:type="dxa"/>
              <w:left w:w="110" w:type="dxa"/>
              <w:bottom w:w="80" w:type="dxa"/>
              <w:right w:w="110" w:type="dxa"/>
            </w:tcMar>
            <w:vAlign w:val="center"/>
          </w:tcPr>
          <w:p w14:paraId="308F3C05" w14:textId="77777777" w:rsidR="00D03CBA" w:rsidRDefault="00000000">
            <w:pPr>
              <w:spacing w:after="0" w:line="245" w:lineRule="auto"/>
            </w:pPr>
            <w:r>
              <w:rPr>
                <w:b/>
                <w:color w:val="FFFFFF"/>
                <w:sz w:val="15"/>
              </w:rPr>
              <w:t>Common failure</w:t>
            </w:r>
          </w:p>
        </w:tc>
      </w:tr>
      <w:tr w:rsidR="00D03CBA" w14:paraId="362547F9" w14:textId="77777777">
        <w:trPr>
          <w:cantSplit/>
        </w:trPr>
        <w:tc>
          <w:tcPr>
            <w:tcW w:w="1800" w:type="dxa"/>
            <w:shd w:val="clear" w:color="auto" w:fill="FFFFFF"/>
            <w:tcMar>
              <w:top w:w="80" w:type="dxa"/>
              <w:left w:w="110" w:type="dxa"/>
              <w:bottom w:w="80" w:type="dxa"/>
              <w:right w:w="110" w:type="dxa"/>
            </w:tcMar>
            <w:vAlign w:val="center"/>
          </w:tcPr>
          <w:p w14:paraId="15164C28" w14:textId="77777777" w:rsidR="00D03CBA" w:rsidRDefault="00000000">
            <w:pPr>
              <w:spacing w:after="0" w:line="245" w:lineRule="auto"/>
            </w:pPr>
            <w:r>
              <w:rPr>
                <w:sz w:val="15"/>
              </w:rPr>
              <w:t>Need</w:t>
            </w:r>
          </w:p>
        </w:tc>
        <w:tc>
          <w:tcPr>
            <w:tcW w:w="4600" w:type="dxa"/>
            <w:shd w:val="clear" w:color="auto" w:fill="FFFFFF"/>
            <w:tcMar>
              <w:top w:w="80" w:type="dxa"/>
              <w:left w:w="110" w:type="dxa"/>
              <w:bottom w:w="80" w:type="dxa"/>
              <w:right w:w="110" w:type="dxa"/>
            </w:tcMar>
            <w:vAlign w:val="center"/>
          </w:tcPr>
          <w:p w14:paraId="137465D7" w14:textId="77777777" w:rsidR="00D03CBA" w:rsidRDefault="00000000">
            <w:pPr>
              <w:spacing w:after="0" w:line="245" w:lineRule="auto"/>
            </w:pPr>
            <w:r>
              <w:rPr>
                <w:sz w:val="15"/>
              </w:rPr>
              <w:t>Defined operational problem and baseline</w:t>
            </w:r>
          </w:p>
        </w:tc>
        <w:tc>
          <w:tcPr>
            <w:tcW w:w="2960" w:type="dxa"/>
            <w:shd w:val="clear" w:color="auto" w:fill="FFFFFF"/>
            <w:tcMar>
              <w:top w:w="80" w:type="dxa"/>
              <w:left w:w="110" w:type="dxa"/>
              <w:bottom w:w="80" w:type="dxa"/>
              <w:right w:w="110" w:type="dxa"/>
            </w:tcMar>
            <w:vAlign w:val="center"/>
          </w:tcPr>
          <w:p w14:paraId="7373A246" w14:textId="77777777" w:rsidR="00D03CBA" w:rsidRDefault="00000000">
            <w:pPr>
              <w:spacing w:after="0" w:line="245" w:lineRule="auto"/>
            </w:pPr>
            <w:r>
              <w:rPr>
                <w:sz w:val="15"/>
              </w:rPr>
              <w:t>Technology selected before problem definition</w:t>
            </w:r>
          </w:p>
        </w:tc>
      </w:tr>
      <w:tr w:rsidR="00D03CBA" w14:paraId="6D9BD450" w14:textId="77777777">
        <w:trPr>
          <w:cantSplit/>
        </w:trPr>
        <w:tc>
          <w:tcPr>
            <w:tcW w:w="1800" w:type="dxa"/>
            <w:shd w:val="clear" w:color="auto" w:fill="F4F7FF"/>
            <w:tcMar>
              <w:top w:w="80" w:type="dxa"/>
              <w:left w:w="110" w:type="dxa"/>
              <w:bottom w:w="80" w:type="dxa"/>
              <w:right w:w="110" w:type="dxa"/>
            </w:tcMar>
            <w:vAlign w:val="center"/>
          </w:tcPr>
          <w:p w14:paraId="4F46EEB4" w14:textId="77777777" w:rsidR="00D03CBA" w:rsidRDefault="00000000">
            <w:pPr>
              <w:spacing w:after="0" w:line="245" w:lineRule="auto"/>
            </w:pPr>
            <w:r>
              <w:rPr>
                <w:sz w:val="15"/>
              </w:rPr>
              <w:t>Concept</w:t>
            </w:r>
          </w:p>
        </w:tc>
        <w:tc>
          <w:tcPr>
            <w:tcW w:w="4600" w:type="dxa"/>
            <w:shd w:val="clear" w:color="auto" w:fill="F4F7FF"/>
            <w:tcMar>
              <w:top w:w="80" w:type="dxa"/>
              <w:left w:w="110" w:type="dxa"/>
              <w:bottom w:w="80" w:type="dxa"/>
              <w:right w:w="110" w:type="dxa"/>
            </w:tcMar>
            <w:vAlign w:val="center"/>
          </w:tcPr>
          <w:p w14:paraId="6F4041A9" w14:textId="77777777" w:rsidR="00D03CBA" w:rsidRDefault="00000000">
            <w:pPr>
              <w:spacing w:after="0" w:line="245" w:lineRule="auto"/>
            </w:pPr>
            <w:r>
              <w:rPr>
                <w:sz w:val="15"/>
              </w:rPr>
              <w:t>Options, hazards, interfaces and preliminary lifecycle case</w:t>
            </w:r>
          </w:p>
        </w:tc>
        <w:tc>
          <w:tcPr>
            <w:tcW w:w="2960" w:type="dxa"/>
            <w:shd w:val="clear" w:color="auto" w:fill="F4F7FF"/>
            <w:tcMar>
              <w:top w:w="80" w:type="dxa"/>
              <w:left w:w="110" w:type="dxa"/>
              <w:bottom w:w="80" w:type="dxa"/>
              <w:right w:w="110" w:type="dxa"/>
            </w:tcMar>
            <w:vAlign w:val="center"/>
          </w:tcPr>
          <w:p w14:paraId="0F23DB2C" w14:textId="77777777" w:rsidR="00D03CBA" w:rsidRDefault="00000000">
            <w:pPr>
              <w:spacing w:after="0" w:line="245" w:lineRule="auto"/>
            </w:pPr>
            <w:r>
              <w:rPr>
                <w:sz w:val="15"/>
              </w:rPr>
              <w:t>Single option or ignored downtime</w:t>
            </w:r>
          </w:p>
        </w:tc>
      </w:tr>
      <w:tr w:rsidR="00D03CBA" w14:paraId="4BB226ED" w14:textId="77777777">
        <w:trPr>
          <w:cantSplit/>
        </w:trPr>
        <w:tc>
          <w:tcPr>
            <w:tcW w:w="1800" w:type="dxa"/>
            <w:shd w:val="clear" w:color="auto" w:fill="FFFFFF"/>
            <w:tcMar>
              <w:top w:w="80" w:type="dxa"/>
              <w:left w:w="110" w:type="dxa"/>
              <w:bottom w:w="80" w:type="dxa"/>
              <w:right w:w="110" w:type="dxa"/>
            </w:tcMar>
            <w:vAlign w:val="center"/>
          </w:tcPr>
          <w:p w14:paraId="0E2CFD26" w14:textId="77777777" w:rsidR="00D03CBA" w:rsidRDefault="00000000">
            <w:pPr>
              <w:spacing w:after="0" w:line="245" w:lineRule="auto"/>
            </w:pPr>
            <w:r>
              <w:rPr>
                <w:sz w:val="15"/>
              </w:rPr>
              <w:t>Design</w:t>
            </w:r>
          </w:p>
        </w:tc>
        <w:tc>
          <w:tcPr>
            <w:tcW w:w="4600" w:type="dxa"/>
            <w:shd w:val="clear" w:color="auto" w:fill="FFFFFF"/>
            <w:tcMar>
              <w:top w:w="80" w:type="dxa"/>
              <w:left w:w="110" w:type="dxa"/>
              <w:bottom w:w="80" w:type="dxa"/>
              <w:right w:w="110" w:type="dxa"/>
            </w:tcMar>
            <w:vAlign w:val="center"/>
          </w:tcPr>
          <w:p w14:paraId="6EF8467C" w14:textId="77777777" w:rsidR="00D03CBA" w:rsidRDefault="00000000">
            <w:pPr>
              <w:spacing w:after="0" w:line="245" w:lineRule="auto"/>
            </w:pPr>
            <w:r>
              <w:rPr>
                <w:sz w:val="15"/>
              </w:rPr>
              <w:t>Specifications, controls, maintainability and permits</w:t>
            </w:r>
          </w:p>
        </w:tc>
        <w:tc>
          <w:tcPr>
            <w:tcW w:w="2960" w:type="dxa"/>
            <w:shd w:val="clear" w:color="auto" w:fill="FFFFFF"/>
            <w:tcMar>
              <w:top w:w="80" w:type="dxa"/>
              <w:left w:w="110" w:type="dxa"/>
              <w:bottom w:w="80" w:type="dxa"/>
              <w:right w:w="110" w:type="dxa"/>
            </w:tcMar>
            <w:vAlign w:val="center"/>
          </w:tcPr>
          <w:p w14:paraId="45B4FF47" w14:textId="77777777" w:rsidR="00D03CBA" w:rsidRDefault="00000000">
            <w:pPr>
              <w:spacing w:after="0" w:line="245" w:lineRule="auto"/>
            </w:pPr>
            <w:r>
              <w:rPr>
                <w:sz w:val="15"/>
              </w:rPr>
              <w:t>No spares, training or cybersecurity plan</w:t>
            </w:r>
          </w:p>
        </w:tc>
      </w:tr>
      <w:tr w:rsidR="00D03CBA" w14:paraId="59E8CBF3" w14:textId="77777777">
        <w:trPr>
          <w:cantSplit/>
        </w:trPr>
        <w:tc>
          <w:tcPr>
            <w:tcW w:w="1800" w:type="dxa"/>
            <w:shd w:val="clear" w:color="auto" w:fill="F4F7FF"/>
            <w:tcMar>
              <w:top w:w="80" w:type="dxa"/>
              <w:left w:w="110" w:type="dxa"/>
              <w:bottom w:w="80" w:type="dxa"/>
              <w:right w:w="110" w:type="dxa"/>
            </w:tcMar>
            <w:vAlign w:val="center"/>
          </w:tcPr>
          <w:p w14:paraId="0C8C2DAA" w14:textId="77777777" w:rsidR="00D03CBA" w:rsidRDefault="00000000">
            <w:pPr>
              <w:spacing w:after="0" w:line="245" w:lineRule="auto"/>
            </w:pPr>
            <w:r>
              <w:rPr>
                <w:sz w:val="15"/>
              </w:rPr>
              <w:t>Finance</w:t>
            </w:r>
          </w:p>
        </w:tc>
        <w:tc>
          <w:tcPr>
            <w:tcW w:w="4600" w:type="dxa"/>
            <w:shd w:val="clear" w:color="auto" w:fill="F4F7FF"/>
            <w:tcMar>
              <w:top w:w="80" w:type="dxa"/>
              <w:left w:w="110" w:type="dxa"/>
              <w:bottom w:w="80" w:type="dxa"/>
              <w:right w:w="110" w:type="dxa"/>
            </w:tcMar>
            <w:vAlign w:val="center"/>
          </w:tcPr>
          <w:p w14:paraId="78C084E2" w14:textId="77777777" w:rsidR="00D03CBA" w:rsidRDefault="00000000">
            <w:pPr>
              <w:spacing w:after="0" w:line="245" w:lineRule="auto"/>
            </w:pPr>
            <w:r>
              <w:rPr>
                <w:sz w:val="15"/>
              </w:rPr>
              <w:t>Scenario-tested cash flow and risk allocation</w:t>
            </w:r>
          </w:p>
        </w:tc>
        <w:tc>
          <w:tcPr>
            <w:tcW w:w="2960" w:type="dxa"/>
            <w:shd w:val="clear" w:color="auto" w:fill="F4F7FF"/>
            <w:tcMar>
              <w:top w:w="80" w:type="dxa"/>
              <w:left w:w="110" w:type="dxa"/>
              <w:bottom w:w="80" w:type="dxa"/>
              <w:right w:w="110" w:type="dxa"/>
            </w:tcMar>
            <w:vAlign w:val="center"/>
          </w:tcPr>
          <w:p w14:paraId="0CB6BFCD" w14:textId="77777777" w:rsidR="00D03CBA" w:rsidRDefault="00000000">
            <w:pPr>
              <w:spacing w:after="0" w:line="245" w:lineRule="auto"/>
            </w:pPr>
            <w:r>
              <w:rPr>
                <w:sz w:val="15"/>
              </w:rPr>
              <w:t>Savings unsupported by measured baseline</w:t>
            </w:r>
          </w:p>
        </w:tc>
      </w:tr>
      <w:tr w:rsidR="00D03CBA" w14:paraId="49676153" w14:textId="77777777">
        <w:trPr>
          <w:cantSplit/>
        </w:trPr>
        <w:tc>
          <w:tcPr>
            <w:tcW w:w="1800" w:type="dxa"/>
            <w:shd w:val="clear" w:color="auto" w:fill="FFFFFF"/>
            <w:tcMar>
              <w:top w:w="80" w:type="dxa"/>
              <w:left w:w="110" w:type="dxa"/>
              <w:bottom w:w="80" w:type="dxa"/>
              <w:right w:w="110" w:type="dxa"/>
            </w:tcMar>
            <w:vAlign w:val="center"/>
          </w:tcPr>
          <w:p w14:paraId="52E5171F" w14:textId="77777777" w:rsidR="00D03CBA" w:rsidRDefault="00000000">
            <w:pPr>
              <w:spacing w:after="0" w:line="245" w:lineRule="auto"/>
            </w:pPr>
            <w:r>
              <w:rPr>
                <w:sz w:val="15"/>
              </w:rPr>
              <w:t>Commission</w:t>
            </w:r>
          </w:p>
        </w:tc>
        <w:tc>
          <w:tcPr>
            <w:tcW w:w="4600" w:type="dxa"/>
            <w:shd w:val="clear" w:color="auto" w:fill="FFFFFF"/>
            <w:tcMar>
              <w:top w:w="80" w:type="dxa"/>
              <w:left w:w="110" w:type="dxa"/>
              <w:bottom w:w="80" w:type="dxa"/>
              <w:right w:w="110" w:type="dxa"/>
            </w:tcMar>
            <w:vAlign w:val="center"/>
          </w:tcPr>
          <w:p w14:paraId="39B4E50A" w14:textId="77777777" w:rsidR="00D03CBA" w:rsidRDefault="00000000">
            <w:pPr>
              <w:spacing w:after="0" w:line="245" w:lineRule="auto"/>
            </w:pPr>
            <w:r>
              <w:rPr>
                <w:sz w:val="15"/>
              </w:rPr>
              <w:t>Acceptance tests, documentation and operator competence</w:t>
            </w:r>
          </w:p>
        </w:tc>
        <w:tc>
          <w:tcPr>
            <w:tcW w:w="2960" w:type="dxa"/>
            <w:shd w:val="clear" w:color="auto" w:fill="FFFFFF"/>
            <w:tcMar>
              <w:top w:w="80" w:type="dxa"/>
              <w:left w:w="110" w:type="dxa"/>
              <w:bottom w:w="80" w:type="dxa"/>
              <w:right w:w="110" w:type="dxa"/>
            </w:tcMar>
            <w:vAlign w:val="center"/>
          </w:tcPr>
          <w:p w14:paraId="6BC3963C" w14:textId="77777777" w:rsidR="00D03CBA" w:rsidRDefault="00000000">
            <w:pPr>
              <w:spacing w:after="0" w:line="245" w:lineRule="auto"/>
            </w:pPr>
            <w:r>
              <w:rPr>
                <w:sz w:val="15"/>
              </w:rPr>
              <w:t>Equipment installed but performance unverified</w:t>
            </w:r>
          </w:p>
        </w:tc>
      </w:tr>
      <w:tr w:rsidR="00D03CBA" w14:paraId="7C555B89" w14:textId="77777777">
        <w:trPr>
          <w:cantSplit/>
        </w:trPr>
        <w:tc>
          <w:tcPr>
            <w:tcW w:w="1800" w:type="dxa"/>
            <w:shd w:val="clear" w:color="auto" w:fill="F4F7FF"/>
            <w:tcMar>
              <w:top w:w="80" w:type="dxa"/>
              <w:left w:w="110" w:type="dxa"/>
              <w:bottom w:w="80" w:type="dxa"/>
              <w:right w:w="110" w:type="dxa"/>
            </w:tcMar>
            <w:vAlign w:val="center"/>
          </w:tcPr>
          <w:p w14:paraId="1E0D8BCA" w14:textId="77777777" w:rsidR="00D03CBA" w:rsidRDefault="00000000">
            <w:pPr>
              <w:spacing w:after="0" w:line="245" w:lineRule="auto"/>
            </w:pPr>
            <w:r>
              <w:rPr>
                <w:sz w:val="15"/>
              </w:rPr>
              <w:t>Operate</w:t>
            </w:r>
          </w:p>
        </w:tc>
        <w:tc>
          <w:tcPr>
            <w:tcW w:w="4600" w:type="dxa"/>
            <w:shd w:val="clear" w:color="auto" w:fill="F4F7FF"/>
            <w:tcMar>
              <w:top w:w="80" w:type="dxa"/>
              <w:left w:w="110" w:type="dxa"/>
              <w:bottom w:w="80" w:type="dxa"/>
              <w:right w:w="110" w:type="dxa"/>
            </w:tcMar>
            <w:vAlign w:val="center"/>
          </w:tcPr>
          <w:p w14:paraId="08B887AC" w14:textId="77777777" w:rsidR="00D03CBA" w:rsidRDefault="00000000">
            <w:pPr>
              <w:spacing w:after="0" w:line="245" w:lineRule="auto"/>
            </w:pPr>
            <w:r>
              <w:rPr>
                <w:sz w:val="15"/>
              </w:rPr>
              <w:t>Measurement and verification, maintenance and change control</w:t>
            </w:r>
          </w:p>
        </w:tc>
        <w:tc>
          <w:tcPr>
            <w:tcW w:w="2960" w:type="dxa"/>
            <w:shd w:val="clear" w:color="auto" w:fill="F4F7FF"/>
            <w:tcMar>
              <w:top w:w="80" w:type="dxa"/>
              <w:left w:w="110" w:type="dxa"/>
              <w:bottom w:w="80" w:type="dxa"/>
              <w:right w:w="110" w:type="dxa"/>
            </w:tcMar>
            <w:vAlign w:val="center"/>
          </w:tcPr>
          <w:p w14:paraId="2A39894F" w14:textId="77777777" w:rsidR="00D03CBA" w:rsidRDefault="00000000">
            <w:pPr>
              <w:spacing w:after="0" w:line="245" w:lineRule="auto"/>
            </w:pPr>
            <w:r>
              <w:rPr>
                <w:sz w:val="15"/>
              </w:rPr>
              <w:t>Benefit claimed once and never sustained</w:t>
            </w:r>
          </w:p>
        </w:tc>
      </w:tr>
    </w:tbl>
    <w:p w14:paraId="71A58DAE" w14:textId="77777777" w:rsidR="00D03CBA" w:rsidRDefault="00000000">
      <w:pPr>
        <w:pStyle w:val="EditorialNote"/>
      </w:pPr>
      <w:r>
        <w:t>Note. Authors' synthesis unless otherwise stated; application requires context-specific evidence and professional judgment.</w:t>
      </w:r>
    </w:p>
    <w:p w14:paraId="7739303D" w14:textId="77777777" w:rsidR="00D03CBA" w:rsidRDefault="00000000">
      <w:pPr>
        <w:pStyle w:val="Heading1"/>
      </w:pPr>
      <w:r>
        <w:t>5.3 Verification and learning</w:t>
      </w:r>
    </w:p>
    <w:p w14:paraId="67FC80E1" w14:textId="77777777" w:rsidR="00D03CBA" w:rsidRDefault="00000000">
      <w:pPr>
        <w:jc w:val="both"/>
      </w:pPr>
      <w:r>
        <w:t>Benefits should be normalised for production volume, product mix, weather and other relevant variables. The baseline, equations, exclusions and uncertainty must be documented. Underperformance should trigger root-cause analysis rather than adjusted targets. Continuity plans should be exercised, not merely written. The management review then updates risks and reallocates capital.</w:t>
      </w:r>
    </w:p>
    <w:p w14:paraId="5CE92728" w14:textId="77777777" w:rsidR="00D03CBA" w:rsidRDefault="00000000">
      <w:pPr>
        <w:pStyle w:val="ListBullet"/>
        <w:spacing w:after="60"/>
        <w:ind w:hanging="216"/>
      </w:pPr>
      <w:r>
        <w:t>Assign one accountable owner to each benefit and risk.</w:t>
      </w:r>
    </w:p>
    <w:p w14:paraId="77900730" w14:textId="77777777" w:rsidR="00D03CBA" w:rsidRDefault="00000000">
      <w:pPr>
        <w:pStyle w:val="ListBullet"/>
        <w:spacing w:after="60"/>
        <w:ind w:hanging="216"/>
      </w:pPr>
      <w:r>
        <w:t>Separate mandatory compliance from scored investment preferences.</w:t>
      </w:r>
    </w:p>
    <w:p w14:paraId="6B70BE96" w14:textId="77777777" w:rsidR="00D03CBA" w:rsidRDefault="00000000">
      <w:pPr>
        <w:pStyle w:val="ListBullet"/>
        <w:spacing w:after="60"/>
        <w:ind w:hanging="216"/>
      </w:pPr>
      <w:r>
        <w:t>Require operations and maintenance participation before design freeze.</w:t>
      </w:r>
    </w:p>
    <w:p w14:paraId="5F4C6DF6" w14:textId="77777777" w:rsidR="00D03CBA" w:rsidRDefault="00000000">
      <w:pPr>
        <w:pStyle w:val="ListBullet"/>
        <w:spacing w:after="60"/>
        <w:ind w:hanging="216"/>
      </w:pPr>
      <w:r>
        <w:t>Use contracts that define performance tests, data access, training, spares and remedies.</w:t>
      </w:r>
    </w:p>
    <w:p w14:paraId="12235EBF" w14:textId="77777777" w:rsidR="00D03CBA" w:rsidRDefault="00000000">
      <w:pPr>
        <w:pStyle w:val="ListBullet"/>
        <w:spacing w:after="60"/>
        <w:ind w:hanging="216"/>
      </w:pPr>
      <w:r>
        <w:t>Publish material assumptions and avoid double-counting energy, carbon and downtime savings.</w:t>
      </w:r>
    </w:p>
    <w:p w14:paraId="71F679D5" w14:textId="77777777" w:rsidR="00D03CBA" w:rsidRDefault="00000000">
      <w:pPr>
        <w:pStyle w:val="Heading1"/>
      </w:pPr>
      <w:r>
        <w:t>6. Policy and Financing Implications</w:t>
      </w:r>
    </w:p>
    <w:p w14:paraId="17ACE647" w14:textId="77777777" w:rsidR="00D03CBA" w:rsidRDefault="00000000">
      <w:pPr>
        <w:jc w:val="both"/>
      </w:pPr>
      <w:r>
        <w:t>Industrial policy can improve project quality by supporting energy audits, common technical standards, accredited testing, industrial-park infrastructure, shared waste and recovery systems, technician development and transparent concessional-finance criteria. Finance should reward verified operating performance rather than equipment purchase alone. Blended finance is most useful when it addresses a defined risk—such as first-loss, tenor or demonstration—not when it conceals an uneconomic design.</w:t>
      </w:r>
    </w:p>
    <w:p w14:paraId="5F0AFC0C" w14:textId="77777777" w:rsidR="00D03CBA" w:rsidRDefault="00000000">
      <w:pPr>
        <w:jc w:val="both"/>
      </w:pPr>
      <w:r>
        <w:t>For small and medium manufacturers, pooled procurement, energy-service contracts, shared laboratories and cluster maintenance centres may reduce transaction costs. Safeguards are required so that digital monitoring or credit conditions do not expose commercially sensitive data or exclude smaller firms without sophisticated records.</w:t>
      </w:r>
    </w:p>
    <w:p w14:paraId="4374326C" w14:textId="77777777" w:rsidR="00D03CBA" w:rsidRDefault="00000000">
      <w:pPr>
        <w:pStyle w:val="Heading1"/>
      </w:pPr>
      <w:r>
        <w:lastRenderedPageBreak/>
        <w:t>7. Limitations and Validation</w:t>
      </w:r>
    </w:p>
    <w:p w14:paraId="5BBF3FCF" w14:textId="77777777" w:rsidR="00D03CBA" w:rsidRDefault="00000000">
      <w:pPr>
        <w:jc w:val="both"/>
      </w:pPr>
      <w:r>
        <w:t>RESTORE is a conceptual synthesis and has not been validated as a maturity scale. Official transition scenarios contain assumptions that will change with technology, finance and policy. Firm conditions differ by sector, location and size. Pilot studies should test inter-rater reliability, burden and predictive usefulness. Longitudinal evaluations should compare energy intensity, unplanned downtime, yield, safety events, emissions and employment before and after implementation, with transparent counterfactual limits.</w:t>
      </w:r>
    </w:p>
    <w:p w14:paraId="52FFDB97" w14:textId="77777777" w:rsidR="00D03CBA" w:rsidRDefault="00000000">
      <w:pPr>
        <w:pStyle w:val="Heading1"/>
      </w:pPr>
      <w:r>
        <w:t>8. Conclusion</w:t>
      </w:r>
    </w:p>
    <w:p w14:paraId="3C97FF34" w14:textId="77777777" w:rsidR="00D03CBA" w:rsidRDefault="00000000">
      <w:pPr>
        <w:jc w:val="both"/>
      </w:pPr>
      <w:r>
        <w:t>Nigeria's industrial transition will be credible only when environmental ambition reinforces, rather than weakens, productive reliability. RESTORE connects utilities, efficiency, standards, data, continuity, circular materials and workforce capability in one evidence-controlled portfolio. It gives managers and engineers a practical sequence: establish the baseline, prioritise risks, engineer options, finance explicit benefits, commission against tests, verify performance and learn. The framework now requires sector-specific piloting and independent evaluation.</w:t>
      </w:r>
    </w:p>
    <w:p w14:paraId="2E265571" w14:textId="77777777" w:rsidR="00D03CBA" w:rsidRDefault="00000000">
      <w:pPr>
        <w:pStyle w:val="Heading1"/>
      </w:pPr>
      <w:r>
        <w:t>Declarations</w:t>
      </w:r>
    </w:p>
    <w:p w14:paraId="0FA8AAF1" w14:textId="77777777" w:rsidR="00D03CBA" w:rsidRDefault="00000000">
      <w:pPr>
        <w:pStyle w:val="Heading2"/>
      </w:pPr>
      <w:r>
        <w:t>Ethics and participant involvement</w:t>
      </w:r>
    </w:p>
    <w:p w14:paraId="54B29FB0" w14:textId="77777777" w:rsidR="00D03CBA" w:rsidRDefault="00000000">
      <w:pPr>
        <w:jc w:val="both"/>
      </w:pPr>
      <w:r>
        <w:t>Not applicable. This review/framework used publicly available documentary and scholarly sources. It involved no human participants, animals, patient material, identifiable records or intervention.</w:t>
      </w:r>
    </w:p>
    <w:p w14:paraId="63A50F5B" w14:textId="77777777" w:rsidR="00D03CBA" w:rsidRDefault="00000000">
      <w:pPr>
        <w:pStyle w:val="Heading2"/>
      </w:pPr>
      <w:r>
        <w:t>Data availability</w:t>
      </w:r>
    </w:p>
    <w:p w14:paraId="4E4B0FE4" w14:textId="77777777" w:rsidR="00D03CBA" w:rsidRDefault="00000000">
      <w:pPr>
        <w:jc w:val="both"/>
      </w:pPr>
      <w:r>
        <w:t>No primary dataset was generated or analysed. The documentary and scholarly sources used are identified in the reference list; access conditions remain those of the source publishers.</w:t>
      </w:r>
    </w:p>
    <w:p w14:paraId="30AD8501" w14:textId="77777777" w:rsidR="00D03CBA" w:rsidRDefault="00000000">
      <w:pPr>
        <w:pStyle w:val="Heading2"/>
      </w:pPr>
      <w:r>
        <w:t>Funding</w:t>
      </w:r>
    </w:p>
    <w:p w14:paraId="0BD455C7" w14:textId="77777777" w:rsidR="00D03CBA" w:rsidRDefault="00000000">
      <w:pPr>
        <w:jc w:val="both"/>
      </w:pPr>
      <w:r>
        <w:t>Prepared within the publisher's journal-launch editorial research programme. No claim of grant-funded primary research is made.</w:t>
      </w:r>
    </w:p>
    <w:p w14:paraId="6BEB61AC" w14:textId="77777777" w:rsidR="00D03CBA" w:rsidRDefault="00000000">
      <w:pPr>
        <w:pStyle w:val="Heading2"/>
      </w:pPr>
      <w:r>
        <w:t>Competing interests</w:t>
      </w:r>
    </w:p>
    <w:p w14:paraId="400EEE08" w14:textId="77777777" w:rsidR="00D03CBA" w:rsidRDefault="00000000">
      <w:pPr>
        <w:jc w:val="both"/>
      </w:pPr>
      <w:r>
        <w:t>CHIA TECH SOLUTIONS AND RESOURCES LIMITED is the corporate author and the publisher of CHIATECH JOURNAL. This relationship is disclosed. Publication requires independent editorial handling and an auditable peer-review and authorization record.</w:t>
      </w:r>
    </w:p>
    <w:p w14:paraId="17CE8E23" w14:textId="77777777" w:rsidR="00D03CBA" w:rsidRDefault="00000000">
      <w:pPr>
        <w:pStyle w:val="Heading2"/>
      </w:pPr>
      <w:r>
        <w:t>Corporate author contribution and accountability</w:t>
      </w:r>
    </w:p>
    <w:p w14:paraId="6A2F9766" w14:textId="77777777" w:rsidR="00D03CBA" w:rsidRDefault="00000000">
      <w:pPr>
        <w:jc w:val="both"/>
      </w:pPr>
      <w:r>
        <w:t>Corporate authorship is attributed to CHIA TECH SOLUTIONS AND RESOURCES LIMITED. An authorized representative must approve the final intellectual content and accept accountability before public release; this production file does not substitute for that recorded approval.</w:t>
      </w:r>
    </w:p>
    <w:p w14:paraId="3ED01738" w14:textId="77777777" w:rsidR="00D03CBA" w:rsidRDefault="00000000">
      <w:pPr>
        <w:pStyle w:val="Heading2"/>
      </w:pPr>
      <w:r>
        <w:lastRenderedPageBreak/>
        <w:t>Generative AI disclosure</w:t>
      </w:r>
    </w:p>
    <w:p w14:paraId="5017A027" w14:textId="77777777" w:rsidR="00D03CBA" w:rsidRDefault="00000000">
      <w:pPr>
        <w:jc w:val="both"/>
      </w:pPr>
      <w:r>
        <w:t>Generative AI assisted search planning, source triage, drafting support, language editing and Word-production automation. It was not treated as an author or source of evidence. Every citation, claim, legal reference and editorial decision requires accountable human verification before publication.</w:t>
      </w:r>
    </w:p>
    <w:p w14:paraId="3567C5B8" w14:textId="77777777" w:rsidR="00D03CBA" w:rsidRDefault="00000000">
      <w:pPr>
        <w:pStyle w:val="Heading2"/>
      </w:pPr>
      <w:r>
        <w:t>Peer-review and editorial status</w:t>
      </w:r>
    </w:p>
    <w:p w14:paraId="6918FD9B" w14:textId="77777777" w:rsidR="00D03CBA" w:rsidRDefault="00000000">
      <w:pPr>
        <w:jc w:val="both"/>
      </w:pPr>
      <w:r>
        <w:t>This is a final editor's production copy for the July 2026 collection. It does not itself prove that external peer review, plagiarism screening, author approval, acceptance or publication authorization has occurred. Those records must be completed and retained in the journal's editorial system before release.</w:t>
      </w:r>
    </w:p>
    <w:p w14:paraId="7EC6145F" w14:textId="77777777" w:rsidR="00D03CBA" w:rsidRDefault="00000000">
      <w:pPr>
        <w:pStyle w:val="Heading2"/>
      </w:pPr>
      <w:r>
        <w:t>Figure and table provenance</w:t>
      </w:r>
    </w:p>
    <w:p w14:paraId="10088464" w14:textId="77777777" w:rsidR="00D03CBA" w:rsidRDefault="00000000">
      <w:pPr>
        <w:jc w:val="both"/>
      </w:pPr>
      <w:r>
        <w:t>The conceptual figure and synthesis tables were created specifically for this review. They contain no patient, participant, survey or third-party image data.</w:t>
      </w:r>
    </w:p>
    <w:p w14:paraId="31CB97D1" w14:textId="77777777" w:rsidR="00D03CBA" w:rsidRDefault="00000000">
      <w:pPr>
        <w:pStyle w:val="Heading1"/>
      </w:pPr>
      <w:r>
        <w:t>References</w:t>
      </w:r>
    </w:p>
    <w:p w14:paraId="6A8BFC33" w14:textId="77777777" w:rsidR="00D03CBA" w:rsidRDefault="00000000">
      <w:pPr>
        <w:pStyle w:val="ArticleReference"/>
      </w:pPr>
      <w:r>
        <w:t xml:space="preserve">Energy Commission of Nigeria. (n.d.). Energy policy and planning. </w:t>
      </w:r>
      <w:hyperlink r:id="rId9">
        <w:r>
          <w:rPr>
            <w:color w:val="173BC4"/>
            <w:u w:val="single"/>
          </w:rPr>
          <w:t>https://www.energy.gov.ng/policy_planning.html</w:t>
        </w:r>
      </w:hyperlink>
    </w:p>
    <w:p w14:paraId="1757111D" w14:textId="77777777" w:rsidR="00D03CBA" w:rsidRDefault="00000000">
      <w:pPr>
        <w:pStyle w:val="ArticleReference"/>
      </w:pPr>
      <w:r>
        <w:t xml:space="preserve">Federal Republic of Nigeria. (2023). Nigeria's Long-Term Low-Emission Development Strategy 2060. </w:t>
      </w:r>
      <w:hyperlink r:id="rId10">
        <w:r>
          <w:rPr>
            <w:color w:val="173BC4"/>
            <w:u w:val="single"/>
          </w:rPr>
          <w:t>https://unfccc.int/sites/default/files/resource/Nigeria_LT-LEDS_01122023_240425_094617.pdf</w:t>
        </w:r>
      </w:hyperlink>
    </w:p>
    <w:p w14:paraId="02383E2F" w14:textId="77777777" w:rsidR="00D03CBA" w:rsidRDefault="00000000">
      <w:pPr>
        <w:pStyle w:val="ArticleReference"/>
      </w:pPr>
      <w:r>
        <w:t>International Organization for Standardization. (2015). ISO 14001:2015 environmental management systems—Requirements with guidance for use.</w:t>
      </w:r>
    </w:p>
    <w:p w14:paraId="42B650D7" w14:textId="77777777" w:rsidR="00D03CBA" w:rsidRDefault="00000000">
      <w:pPr>
        <w:pStyle w:val="ArticleReference"/>
      </w:pPr>
      <w:r>
        <w:t>International Organization for Standardization. (2018). ISO 50001:2018 energy management systems—Requirements with guidance for use.</w:t>
      </w:r>
    </w:p>
    <w:p w14:paraId="674811AF" w14:textId="77777777" w:rsidR="00D03CBA" w:rsidRDefault="00000000">
      <w:pPr>
        <w:pStyle w:val="ArticleReference"/>
      </w:pPr>
      <w:r>
        <w:t>International Organization for Standardization. (2019). ISO 22301:2019 security and resilience—Business continuity management systems—Requirements.</w:t>
      </w:r>
    </w:p>
    <w:p w14:paraId="52DB65A7" w14:textId="77777777" w:rsidR="00D03CBA" w:rsidRDefault="00000000">
      <w:pPr>
        <w:pStyle w:val="ArticleReference"/>
      </w:pPr>
      <w:r>
        <w:t xml:space="preserve">Nigeria Energy Transition Office. (2022, updated 2024). Nigeria Energy Transition Plan. </w:t>
      </w:r>
      <w:hyperlink r:id="rId11">
        <w:r>
          <w:rPr>
            <w:color w:val="173BC4"/>
            <w:u w:val="single"/>
          </w:rPr>
          <w:t>https://energytransition.gov.ng/</w:t>
        </w:r>
      </w:hyperlink>
    </w:p>
    <w:p w14:paraId="45D793E8" w14:textId="77777777" w:rsidR="00D03CBA" w:rsidRDefault="00000000">
      <w:pPr>
        <w:pStyle w:val="ArticleReference"/>
      </w:pPr>
      <w:r>
        <w:t xml:space="preserve">Teece, D. J., Pisano, G., &amp; Shuen, A. (1997). Dynamic capabilities and strategic management. Strategic Management Journal, 18(7), 509-533. </w:t>
      </w:r>
      <w:hyperlink r:id="rId12">
        <w:r>
          <w:rPr>
            <w:color w:val="173BC4"/>
            <w:u w:val="single"/>
          </w:rPr>
          <w:t>https://doi.org/10.1002/(SICI)1097-0266(199708)18:7%3C509::AID-SMJ882%3E3.0.CO;2-Z</w:t>
        </w:r>
      </w:hyperlink>
    </w:p>
    <w:p w14:paraId="7A51F5C2" w14:textId="77777777" w:rsidR="00D03CBA" w:rsidRDefault="00000000">
      <w:pPr>
        <w:pStyle w:val="ArticleReference"/>
      </w:pPr>
      <w:r>
        <w:t xml:space="preserve">United Nations Industrial Development Organization. (2025). UNIDO Annual Report 2024. </w:t>
      </w:r>
      <w:hyperlink r:id="rId13">
        <w:r>
          <w:rPr>
            <w:color w:val="173BC4"/>
            <w:u w:val="single"/>
          </w:rPr>
          <w:t>https://downloads.unido.org/ot/37/62/37621743/ANNUAL%20REPORT%202024.pdf</w:t>
        </w:r>
      </w:hyperlink>
    </w:p>
    <w:p w14:paraId="354E0272" w14:textId="77777777" w:rsidR="00D03CBA" w:rsidRDefault="00000000">
      <w:pPr>
        <w:pStyle w:val="ArticleReference"/>
      </w:pPr>
      <w:r>
        <w:t xml:space="preserve">World Bank. (n.d.). Firms experiencing electrical outages (% of firms)—Nigeria. Enterprise Surveys. </w:t>
      </w:r>
      <w:hyperlink r:id="rId14">
        <w:r>
          <w:rPr>
            <w:color w:val="173BC4"/>
            <w:u w:val="single"/>
          </w:rPr>
          <w:t>https://data.worldbank.org/indicator/IC.ELC.OUTG.ZS?locations=NG</w:t>
        </w:r>
      </w:hyperlink>
    </w:p>
    <w:tbl>
      <w:tblPr>
        <w:tblW w:w="9360" w:type="dxa"/>
        <w:tblBorders>
          <w:top w:val="single" w:sz="8" w:space="0" w:color="FFD43B"/>
          <w:left w:val="single" w:sz="8" w:space="0" w:color="FFD43B"/>
          <w:bottom w:val="single" w:sz="8" w:space="0" w:color="FFD43B"/>
          <w:right w:val="single" w:sz="8" w:space="0" w:color="FFD43B"/>
          <w:insideH w:val="single" w:sz="8" w:space="0" w:color="FFD43B"/>
          <w:insideV w:val="single" w:sz="8" w:space="0" w:color="FFD43B"/>
        </w:tblBorders>
        <w:tblLayout w:type="fixed"/>
        <w:tblLook w:val="04A0" w:firstRow="1" w:lastRow="0" w:firstColumn="1" w:lastColumn="0" w:noHBand="0" w:noVBand="1"/>
      </w:tblPr>
      <w:tblGrid>
        <w:gridCol w:w="9360"/>
      </w:tblGrid>
      <w:tr w:rsidR="00D03CBA" w14:paraId="563B3382" w14:textId="77777777">
        <w:tc>
          <w:tcPr>
            <w:tcW w:w="9360" w:type="dxa"/>
            <w:shd w:val="clear" w:color="auto" w:fill="FFF8CF"/>
            <w:tcMar>
              <w:top w:w="80" w:type="dxa"/>
              <w:left w:w="110" w:type="dxa"/>
              <w:bottom w:w="80" w:type="dxa"/>
              <w:right w:w="110" w:type="dxa"/>
            </w:tcMar>
            <w:vAlign w:val="center"/>
          </w:tcPr>
          <w:p w14:paraId="0CC0A9B5" w14:textId="77777777" w:rsidR="00D03CBA" w:rsidRDefault="00000000">
            <w:pPr>
              <w:spacing w:after="0" w:line="245" w:lineRule="auto"/>
            </w:pPr>
            <w:r>
              <w:rPr>
                <w:b/>
                <w:color w:val="071A45"/>
                <w:sz w:val="16"/>
              </w:rPr>
              <w:t>Recommended citation: CHIA TECH SOLUTIONS AND RESOURCES LIMITED. (2026). Engineering Sustainable Industrial Transition in Nigeria: An Integrated Framework for Reliability, Circularity and Operational Resilience. CHIATECH JOURNAL, 1(1), e014. DOI registration pending.</w:t>
            </w:r>
          </w:p>
        </w:tc>
      </w:tr>
    </w:tbl>
    <w:p w14:paraId="3833E941" w14:textId="77777777" w:rsidR="00D03CBA" w:rsidRDefault="00000000">
      <w:pPr>
        <w:pStyle w:val="EditorialNote"/>
        <w:jc w:val="center"/>
      </w:pPr>
      <w:r>
        <w:t>Identifier control: retain the eLocator; add only the registrar-confirmed DOI prefix and full DOI after successful deposit.</w:t>
      </w:r>
    </w:p>
    <w:sectPr w:rsidR="00D03CBA" w:rsidSect="00034616">
      <w:headerReference w:type="even" r:id="rId15"/>
      <w:headerReference w:type="default" r:id="rId16"/>
      <w:footerReference w:type="default" r:id="rId17"/>
      <w:headerReference w:type="first" r:id="rId18"/>
      <w:pgSz w:w="12240" w:h="15840"/>
      <w:pgMar w:top="1325" w:right="1440" w:bottom="1325"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4344B" w14:textId="77777777" w:rsidR="000E5A29" w:rsidRDefault="000E5A29">
      <w:pPr>
        <w:spacing w:after="0" w:line="240" w:lineRule="auto"/>
      </w:pPr>
      <w:r>
        <w:separator/>
      </w:r>
    </w:p>
  </w:endnote>
  <w:endnote w:type="continuationSeparator" w:id="0">
    <w:p w14:paraId="6180DCA4" w14:textId="77777777" w:rsidR="000E5A29" w:rsidRDefault="000E5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9B9D4" w14:textId="77777777" w:rsidR="00D03CBA" w:rsidRDefault="00000000">
    <w:pPr>
      <w:pStyle w:val="Foote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E586B" w14:textId="77777777" w:rsidR="000E5A29" w:rsidRDefault="000E5A29">
      <w:pPr>
        <w:spacing w:after="0" w:line="240" w:lineRule="auto"/>
      </w:pPr>
      <w:r>
        <w:separator/>
      </w:r>
    </w:p>
  </w:footnote>
  <w:footnote w:type="continuationSeparator" w:id="0">
    <w:p w14:paraId="0318C506" w14:textId="77777777" w:rsidR="000E5A29" w:rsidRDefault="000E5A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8F774" w14:textId="77777777" w:rsidR="00D03CBA" w:rsidRDefault="00D03C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59E81" w14:textId="77777777" w:rsidR="00D03CBA" w:rsidRDefault="00D03CBA">
    <w:pPr>
      <w:pStyle w:val="Header"/>
      <w:spacing w:after="0" w:before="0"/>
      <w:jc w:val="center"/>
    </w:pPr>
    <w:r/>
    <w:r>
      <w:rPr>
        <w:rFonts w:ascii="Cambria" w:hAnsi="Cambria" w:eastAsia="Cambria"/>
        <w:b/>
        <w:color w:val="0B3D5C"/>
        <w:sz w:val="16"/>
      </w:rPr>
      <w:t>CHIATECH JOURNAL  |  SETEHEM  |  VOLUME 1 · ISSUE 2 · AUGUST 2026  |  e056</w:t>
    </w:r>
  </w:p>
  <w:tbl>
    <w:tblPr>
      <w:tblW w:w="9360" w:type="dxa"/>
      <w:tblInd w:w="120" w:type="dxa"/>
      <w:tblLayout w:type="fixed"/>
      <w:tblLook w:val="04A0" w:firstRow="1" w:lastRow="0" w:firstColumn="1" w:lastColumn="0" w:noHBand="0" w:noVBand="1"/>
    </w:tblPr>
    <w:tblGrid>
      <w:gridCol w:w="720"/>
      <w:gridCol w:w="720"/>
      <w:gridCol w:w="7920"/>
    </w:tblGrid>
    <w:tr w:rsidR="00D03CBA" w14:paraId="0E1D2233" w14:textId="77777777">
      <w:tc>
        <w:tcPr>
          <w:tcW w:w="720" w:type="dxa"/>
          <w:tcMar>
            <w:top w:w="0" w:type="dxa"/>
            <w:left w:w="25" w:type="dxa"/>
            <w:bottom w:w="0" w:type="dxa"/>
            <w:right w:w="25" w:type="dxa"/>
          </w:tcMar>
          <w:vAlign w:val="center"/>
        </w:tcPr>
        <w:p w14:paraId="78CE9A52" w14:textId="77777777" w:rsidR="00D03CBA" w:rsidRDefault="00000000">
          <w:pPr>
            <w:jc w:val="center"/>
          </w:pPr>
          <w:r>
            <w:rPr>
              <w:noProof/>
            </w:rPr>
            <w:drawing>
              <wp:inline distT="0" distB="0" distL="0" distR="0" wp14:anchorId="0BCFFDCC" wp14:editId="45483687">
                <wp:extent cx="329184" cy="329184"/>
                <wp:effectExtent l="0" t="0" r="0" b="0"/>
                <wp:docPr id="1454063984" name="Picture 1454063984" descr="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atech-logo.png"/>
                        <pic:cNvPicPr/>
                      </pic:nvPicPr>
                      <pic:blipFill>
                        <a:blip r:embed="rId1"/>
                        <a:stretch>
                          <a:fillRect/>
                        </a:stretch>
                      </pic:blipFill>
                      <pic:spPr>
                        <a:xfrm>
                          <a:off x="0" y="0"/>
                          <a:ext cx="329184" cy="329184"/>
                        </a:xfrm>
                        <a:prstGeom prst="rect">
                          <a:avLst/>
                        </a:prstGeom>
                      </pic:spPr>
                    </pic:pic>
                  </a:graphicData>
                </a:graphic>
              </wp:inline>
            </w:drawing>
          </w:r>
        </w:p>
      </w:tc>
      <w:tc>
        <w:tcPr>
          <w:tcW w:w="720" w:type="dxa"/>
          <w:tcMar>
            <w:top w:w="0" w:type="dxa"/>
            <w:left w:w="25" w:type="dxa"/>
            <w:bottom w:w="0" w:type="dxa"/>
            <w:right w:w="25" w:type="dxa"/>
          </w:tcMar>
          <w:vAlign w:val="center"/>
        </w:tcPr>
        <w:p w14:paraId="2903255D" w14:textId="77777777" w:rsidR="00D03CBA" w:rsidRDefault="00000000">
          <w:pPr>
            <w:jc w:val="center"/>
          </w:pPr>
          <w:r>
            <w:rPr>
              <w:noProof/>
            </w:rPr>
            <w:drawing>
              <wp:inline distT="0" distB="0" distL="0" distR="0" wp14:anchorId="7E60B474" wp14:editId="5EF7B70E">
                <wp:extent cx="277402" cy="329184"/>
                <wp:effectExtent l="0" t="0" r="0" b="0"/>
                <wp:docPr id="2" name="Picture 2" descr="CHIATECH 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atechjournal-logo.PNG"/>
                        <pic:cNvPicPr/>
                      </pic:nvPicPr>
                      <pic:blipFill>
                        <a:blip r:embed="rId2"/>
                        <a:stretch>
                          <a:fillRect/>
                        </a:stretch>
                      </pic:blipFill>
                      <pic:spPr>
                        <a:xfrm>
                          <a:off x="0" y="0"/>
                          <a:ext cx="277402" cy="329184"/>
                        </a:xfrm>
                        <a:prstGeom prst="rect">
                          <a:avLst/>
                        </a:prstGeom>
                      </pic:spPr>
                    </pic:pic>
                  </a:graphicData>
                </a:graphic>
              </wp:inline>
            </w:drawing>
          </w:r>
        </w:p>
      </w:tc>
      <w:tc>
        <w:tcPr>
          <w:tcW w:w="7920" w:type="dxa"/>
          <w:tcMar>
            <w:top w:w="0" w:type="dxa"/>
            <w:left w:w="25" w:type="dxa"/>
            <w:bottom w:w="0" w:type="dxa"/>
            <w:right w:w="25" w:type="dxa"/>
          </w:tcMar>
          <w:vAlign w:val="center"/>
        </w:tcPr>
        <w:p w14:paraId="78BD3813" w14:textId="77777777" w:rsidR="00D03CBA" w:rsidRDefault="00000000">
          <w:pPr>
            <w:jc w:val="right"/>
          </w:pPr>
          <w:r>
            <w:rPr>
              <w:rFonts w:ascii="Georgia" w:hAnsi="Georgia"/>
              <w:b/>
              <w:color w:val="071A45"/>
              <w:sz w:val="23"/>
            </w:rPr>
            <w:t>CHIATECH JOURNAL</w:t>
          </w:r>
          <w:r>
            <w:rPr>
              <w:rFonts w:ascii="Georgia" w:hAnsi="Georgia"/>
              <w:b/>
              <w:color w:val="071A45"/>
              <w:sz w:val="23"/>
            </w:rPr>
            <w:br/>
          </w:r>
          <w:r>
            <w:rPr>
              <w:b/>
              <w:color w:val="59647D"/>
              <w:sz w:val="15"/>
            </w:rPr>
            <w:t>VOLUME 1 · ISSUE 1 · JULY 2026</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3D84F" w14:textId="77777777" w:rsidR="00D03CBA" w:rsidRDefault="00D03C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1202257">
    <w:abstractNumId w:val="8"/>
  </w:num>
  <w:num w:numId="2" w16cid:durableId="2056154475">
    <w:abstractNumId w:val="6"/>
  </w:num>
  <w:num w:numId="3" w16cid:durableId="1496142083">
    <w:abstractNumId w:val="5"/>
  </w:num>
  <w:num w:numId="4" w16cid:durableId="1450199300">
    <w:abstractNumId w:val="4"/>
  </w:num>
  <w:num w:numId="5" w16cid:durableId="2006737342">
    <w:abstractNumId w:val="7"/>
  </w:num>
  <w:num w:numId="6" w16cid:durableId="612591250">
    <w:abstractNumId w:val="3"/>
  </w:num>
  <w:num w:numId="7" w16cid:durableId="1601529125">
    <w:abstractNumId w:val="2"/>
  </w:num>
  <w:num w:numId="8" w16cid:durableId="334233966">
    <w:abstractNumId w:val="1"/>
  </w:num>
  <w:num w:numId="9" w16cid:durableId="1970162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5A29"/>
    <w:rsid w:val="000F32E5"/>
    <w:rsid w:val="0015074B"/>
    <w:rsid w:val="0029639D"/>
    <w:rsid w:val="00326F90"/>
    <w:rsid w:val="009D44F1"/>
    <w:rsid w:val="00AA1654"/>
    <w:rsid w:val="00AA1D8D"/>
    <w:rsid w:val="00B47730"/>
    <w:rsid w:val="00CB0664"/>
    <w:rsid w:val="00D03C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8B5578"/>
  <w14:defaultImageDpi w14:val="300"/>
  <w15:docId w15:val="{7778B895-535A-4A62-9BCB-158234914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60" w:after="120" w:line="240" w:lineRule="auto"/>
    </w:pPr>
    <w:rPr>
      <w:rFonts w:ascii="Cambria" w:hAnsi="Cambria" w:eastAsia="Cambria"/>
      <w:b w:val="0"/>
      <w:bCs/>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 Title"/>
    <w:basedOn w:val="Title"/>
    <w:rPr>
      <w:rFonts w:ascii="Georgia" w:hAnsi="Georgia"/>
      <w:sz w:val="40"/>
    </w:rPr>
  </w:style>
  <w:style w:type="paragraph" w:customStyle="1" w:styleId="ArticleAuthor">
    <w:name w:val="Article Author"/>
    <w:basedOn w:val="Normal"/>
    <w:pPr>
      <w:keepNext/>
      <w:spacing w:after="40"/>
    </w:pPr>
    <w:rPr>
      <w:b/>
      <w:sz w:val="22"/>
    </w:rPr>
  </w:style>
  <w:style w:type="paragraph" w:customStyle="1" w:styleId="ArticleAffiliation">
    <w:name w:val="Article Affiliation"/>
    <w:basedOn w:val="Normal"/>
    <w:pPr>
      <w:spacing w:after="40"/>
    </w:pPr>
    <w:rPr>
      <w:i/>
      <w:color w:val="59647D"/>
      <w:sz w:val="18"/>
    </w:rPr>
  </w:style>
  <w:style w:type="paragraph" w:customStyle="1" w:styleId="ArticleAbstract">
    <w:name w:val="Article Abstract"/>
    <w:basedOn w:val="Normal"/>
    <w:pPr>
      <w:spacing w:after="80" w:line="259" w:lineRule="auto"/>
      <w:jc w:val="both"/>
    </w:pPr>
    <w:rPr>
      <w:sz w:val="18"/>
    </w:rPr>
  </w:style>
  <w:style w:type="paragraph" w:customStyle="1" w:styleId="ArticleReference">
    <w:name w:val="Article Reference"/>
    <w:basedOn w:val="Normal"/>
    <w:pPr>
      <w:spacing w:after="80" w:line="247" w:lineRule="auto"/>
      <w:ind w:left="317" w:hanging="317"/>
    </w:pPr>
    <w:rPr>
      <w:sz w:val="17"/>
    </w:rPr>
  </w:style>
  <w:style w:type="paragraph" w:customStyle="1" w:styleId="EditorialNote">
    <w:name w:val="Editorial Note"/>
    <w:basedOn w:val="Normal"/>
    <w:pPr>
      <w:spacing w:after="80" w:line="247" w:lineRule="auto"/>
    </w:pPr>
    <w:rPr>
      <w:color w:val="59647D"/>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wnloads.unido.org/ot/37/62/37621743/ANNUAL%20REPORT%202024.pdf" TargetMode="External"/><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02/(SICI)1097-0266(199708)18:7%3C509::AID-SMJ882%3E3.0.CO;2-Z"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ergytransition.gov.ng/"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unfccc.int/sites/default/files/resource/Nigeria_LT-LEDS_01122023_240425_094617.pd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energy.gov.ng/policy_planning.html" TargetMode="External"/><Relationship Id="rId14" Type="http://schemas.openxmlformats.org/officeDocument/2006/relationships/hyperlink" Target="https://data.worldbank.org/indicator/IC.ELC.OUTG.ZS?locations=NG"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2600</Words>
  <Characters>14825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Sustainable Industrial Transition in Nigeria: An Integrated Framework for Reliability, Circularity and Operational Resilience</dc:title>
  <dc:subject>CHIATECH JOURNAL SETEHEM V1I2 e056</dc:subject>
  <dc:creator>CHIATECH JOURNAL</dc:creator>
  <cp:keywords>sustainable industry; operational resilience; energy transition; circular economy; industrial engineering; Nigeria</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2026-08-30T00:40:00Z</dcterms:created>
  <dcterms:modified xsi:type="dcterms:W3CDTF">2026-08-30T00:40:00Z</dcterms:modified>
  <cp:category/>
</cp:coreProperties>
</file>