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0663" w14:textId="77777777">
      <w:pPr>
        <w:pStyle w:val="Subtitle"/>
        <w:keepNext/>
        <w:spacing w:after="0" w:line="240" w:lineRule="auto"/>
        <w:jc w:val="center"/>
        <w:rPr>
          <w:rFonts w:asciiTheme="minorHAnsi" w:hAnsiTheme="minorHAnsi"/>
          <w:szCs w:val="20"/>
        </w:rPr>
      </w:pPr>
      <w:r>
        <w:rPr>
          <w:rFonts w:asciiTheme="minorHAnsi" w:hAnsiTheme="minorHAnsi"/>
          <w:szCs w:val="20"/>
        </w:rPr>
        <w:t>PIONEER PUBLICATION · ACCEPTED ARTICLE · RESEARCH ARTICLE · SETEHEM: TECHNOLOGY × EDUCATION · DESIGN SCIENCE</w:t>
      </w:r>
    </w:p>
    <w:p w14:paraId="5A15DEC7" w14:textId="77777777">
      <w:pPr>
        <w:pStyle w:val="Title"/>
        <w:keepNext/>
        <w:spacing w:after="0"/>
        <w:jc w:val="center"/>
        <w:rPr>
          <w:rFonts w:asciiTheme="minorHAnsi" w:hAnsiTheme="minorHAnsi"/>
          <w:sz w:val="20"/>
          <w:szCs w:val="20"/>
        </w:rPr>
      </w:pPr>
      <w:r>
        <w:rPr>
          <w:rFonts w:asciiTheme="minorHAnsi" w:hAnsiTheme="minorHAnsi"/>
          <w:sz w:val="20"/>
          <w:szCs w:val="20"/>
        </w:rPr>
        <w:t>Design, Simulation, Implementation, and Operational Evaluation of the CACGWA Student Revision and CBT Portal: A 500-Item-Bank Randomized Assessment Model for Senior Secondary School Examinations</w:t>
      </w:r>
    </w:p>
    <w:p w14:paraId="141057D4" w14:textId="77777777">
      <w:pPr>
        <w:spacing w:after="0" w:line="240" w:lineRule="auto"/>
        <w:rPr>
          <w:rFonts w:asciiTheme="minorHAnsi" w:hAnsiTheme="minorHAnsi"/>
          <w:b/>
          <w:bCs/>
          <w:sz w:val="20"/>
          <w:szCs w:val="20"/>
          <w:lang w:val="de-DE"/>
        </w:rPr>
      </w:pPr>
      <w:r>
        <w:rPr>
          <w:rFonts w:asciiTheme="minorHAnsi" w:eastAsia="Arial" w:hAnsiTheme="minorHAnsi" w:cs="Arial"/>
          <w:b/>
          <w:bCs/>
          <w:sz w:val="20"/>
          <w:szCs w:val="20"/>
          <w:vertAlign w:val="superscript"/>
          <w:lang w:val="de-DE"/>
        </w:rPr>
        <w:t>1</w:t>
      </w:r>
      <w:r>
        <w:rPr>
          <w:rFonts w:asciiTheme="minorHAnsi" w:eastAsia="Arial" w:hAnsiTheme="minorHAnsi" w:cs="Arial"/>
          <w:b/>
          <w:bCs/>
          <w:sz w:val="20"/>
          <w:szCs w:val="20"/>
          <w:lang w:val="de-DE"/>
        </w:rPr>
        <w:t>CHIA, S. Kenneth.</w:t>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t xml:space="preserve"/>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 xml:space="preserve"/>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 xml:space="preserve"/>
      </w:r>
      <w:r>
        <w:rPr>
          <w:rFonts w:asciiTheme="minorHAnsi" w:eastAsia="Arial" w:hAnsiTheme="minorHAnsi" w:cs="Arial"/>
          <w:b/>
          <w:bCs/>
          <w:sz w:val="20"/>
          <w:szCs w:val="20"/>
          <w:vertAlign w:val="superscript"/>
          <w:lang w:val="de-DE"/>
        </w:rPr>
        <w:t>2</w:t>
      </w:r>
      <w:r>
        <w:rPr>
          <w:rFonts w:asciiTheme="minorHAnsi" w:eastAsia="Arial" w:hAnsiTheme="minorHAnsi" w:cs="Arial"/>
          <w:b/>
          <w:bCs/>
          <w:sz w:val="20"/>
          <w:szCs w:val="20"/>
          <w:lang w:val="de-DE"/>
        </w:rPr>
        <w:t>JULIUS, Bitrus</w:t>
      </w:r>
      <w:r>
        <w:rPr>
          <w:rFonts w:asciiTheme="minorHAnsi" w:eastAsia="Arial" w:hAnsiTheme="minorHAnsi" w:cs="Arial"/>
          <w:b/>
          <w:bCs/>
          <w:sz w:val="20"/>
          <w:szCs w:val="20"/>
          <w:lang w:val="de-DE"/>
        </w:rPr>
        <w:t xml:space="preserve"> Jiwayikwo</w:t>
      </w:r>
      <w:r>
        <w:rPr>
          <w:rFonts w:asciiTheme="minorHAnsi" w:eastAsia="Arial" w:hAnsiTheme="minorHAnsi" w:cs="Arial"/>
          <w:b/>
          <w:bCs/>
          <w:sz w:val="20"/>
          <w:szCs w:val="20"/>
          <w:lang w:val="de-DE"/>
        </w:rPr>
        <w:tab/>
      </w:r>
    </w:p>
    <w:p w14:paraId="52062A32" w14:textId="77777777">
      <w:pPr>
        <w:spacing w:after="0" w:line="240" w:lineRule="auto"/>
        <w:rPr>
          <w:rFonts w:asciiTheme="minorHAnsi" w:hAnsiTheme="minorHAnsi"/>
          <w:sz w:val="20"/>
          <w:szCs w:val="20"/>
          <w:lang w:val="de-DE"/>
        </w:rPr>
      </w:pPr>
      <w:hyperlink r:id="rId8" w:history="1">
        <w:r>
          <w:rPr>
            <w:rStyle w:val="Hyperlink"/>
            <w:rFonts w:asciiTheme="minorHAnsi" w:hAnsiTheme="minorHAnsi"/>
            <w:sz w:val="20"/>
            <w:szCs w:val="20"/>
            <w:lang w:val="de-DE"/>
          </w:rPr>
          <w:t>chiakenneth01@gmail.com</w:t>
        </w:r>
      </w:hyperlink>
      <w:r>
        <w:rPr>
          <w:rFonts w:asciiTheme="minorHAnsi" w:eastAsia="Arial" w:hAnsiTheme="minorHAnsi" w:cs="Arial"/>
          <w:sz w:val="20"/>
          <w:szCs w:val="20"/>
          <w:lang w:val="de-DE"/>
        </w:rPr>
        <w:t xml:space="preserve"/>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hyperlink r:id="rId9" w:history="1">
        <w:r>
          <w:rPr>
            <w:rStyle w:val="Hyperlink"/>
            <w:rFonts w:asciiTheme="minorHAnsi" w:hAnsiTheme="minorHAnsi"/>
            <w:sz w:val="20"/>
            <w:szCs w:val="20"/>
            <w:lang w:val="de-DE"/>
          </w:rPr>
          <w:t>juliusbitrus12@gmail.com</w:t>
        </w:r>
      </w:hyperlink>
    </w:p>
    <w:p w14:paraId="518D9342" w14:textId="77777777">
      <w:pPr>
        <w:spacing w:after="0" w:line="240" w:lineRule="auto"/>
        <w:rPr>
          <w:rFonts w:asciiTheme="minorHAnsi" w:hAnsiTheme="minorHAnsi"/>
          <w:sz w:val="20"/>
          <w:szCs w:val="20"/>
          <w:lang w:val="de-DE"/>
        </w:rPr>
      </w:pP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p>
    <w:p w14:paraId="3F5735AD" w14:textId="77777777">
      <w:pPr>
        <w:spacing w:after="0" w:line="240" w:lineRule="auto"/>
        <w:rPr>
          <w:rFonts w:asciiTheme="minorHAnsi" w:hAnsiTheme="minorHAnsi"/>
          <w:sz w:val="20"/>
          <w:szCs w:val="20"/>
          <w:lang w:val="de-DE"/>
        </w:rPr>
      </w:pPr>
      <w:r>
        <w:rPr>
          <w:rFonts w:asciiTheme="minorHAnsi" w:eastAsia="Arial" w:hAnsiTheme="minorHAnsi" w:cs="Arial"/>
          <w:b/>
          <w:bCs/>
          <w:sz w:val="20"/>
          <w:szCs w:val="20"/>
          <w:vertAlign w:val="superscript"/>
          <w:lang w:val="de-DE"/>
        </w:rPr>
        <w:t>3</w:t>
      </w:r>
      <w:r>
        <w:rPr>
          <w:rFonts w:asciiTheme="minorHAnsi" w:eastAsia="Arial" w:hAnsiTheme="minorHAnsi" w:cs="Arial"/>
          <w:b/>
          <w:bCs/>
          <w:sz w:val="20"/>
          <w:szCs w:val="20"/>
          <w:lang w:val="de-DE"/>
        </w:rPr>
        <w:t>UKULE, Peter</w:t>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lang w:val="de-DE"/>
        </w:rPr>
        <w:tab/>
      </w:r>
      <w:r>
        <w:rPr>
          <w:rFonts w:asciiTheme="minorHAnsi" w:eastAsia="Arial" w:hAnsiTheme="minorHAnsi" w:cs="Arial"/>
          <w:b/>
          <w:bCs/>
          <w:sz w:val="20"/>
          <w:szCs w:val="20"/>
          <w:vertAlign w:val="superscript"/>
          <w:lang w:val="de-DE"/>
        </w:rPr>
        <w:t>4</w:t>
      </w:r>
      <w:r>
        <w:rPr>
          <w:rFonts w:asciiTheme="minorHAnsi" w:eastAsia="Arial" w:hAnsiTheme="minorHAnsi" w:cs="Arial"/>
          <w:b/>
          <w:bCs/>
          <w:sz w:val="20"/>
          <w:szCs w:val="20"/>
          <w:lang w:val="de-DE"/>
        </w:rPr>
        <w:t>Elumeyan, Elizabeth</w:t>
      </w:r>
    </w:p>
    <w:p w14:paraId="0FB2FA81" w14:textId="77777777">
      <w:pPr>
        <w:spacing w:after="0" w:line="240" w:lineRule="auto"/>
        <w:rPr>
          <w:rFonts w:asciiTheme="minorHAnsi" w:hAnsiTheme="minorHAnsi"/>
          <w:sz w:val="20"/>
          <w:szCs w:val="20"/>
          <w:lang w:val="de-DE"/>
        </w:rPr>
      </w:pPr>
      <w:hyperlink r:id="rId10" w:history="1">
        <w:r>
          <w:rPr>
            <w:rStyle w:val="Hyperlink"/>
            <w:rFonts w:asciiTheme="minorHAnsi" w:hAnsiTheme="minorHAnsi"/>
            <w:sz w:val="20"/>
            <w:szCs w:val="20"/>
            <w:lang w:val="de-DE"/>
          </w:rPr>
          <w:t>rev.ukulepeter@gmail.com</w:t>
        </w:r>
      </w:hyperlink>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r>
        <w:rPr>
          <w:rFonts w:asciiTheme="minorHAnsi" w:eastAsia="Arial" w:hAnsiTheme="minorHAnsi" w:cs="Arial"/>
          <w:sz w:val="20"/>
          <w:szCs w:val="20"/>
          <w:lang w:val="de-DE"/>
        </w:rPr>
        <w:tab/>
      </w:r>
      <w:hyperlink r:id="rId11" w:history="1">
        <w:r>
          <w:rPr>
            <w:rStyle w:val="Hyperlink"/>
            <w:rFonts w:asciiTheme="minorHAnsi" w:hAnsiTheme="minorHAnsi"/>
            <w:sz w:val="20"/>
            <w:szCs w:val="20"/>
            <w:lang w:val="de-DE"/>
          </w:rPr>
          <w:t>Elizabethtiti1972@gmail.com</w:t>
        </w:r>
      </w:hyperlink>
    </w:p>
    <w:p w14:paraId="6040D35E" w14:textId="77777777">
      <w:pPr>
        <w:spacing w:after="0" w:line="240" w:lineRule="auto"/>
        <w:rPr>
          <w:rFonts w:asciiTheme="minorHAnsi" w:hAnsiTheme="minorHAnsi"/>
          <w:b/>
          <w:bCs/>
          <w:sz w:val="20"/>
          <w:szCs w:val="20"/>
          <w:lang w:val="de-DE"/>
        </w:rPr>
      </w:pPr>
      <w:r>
        <w:rPr>
          <w:rFonts w:asciiTheme="minorHAnsi" w:eastAsia="Arial" w:hAnsiTheme="minorHAnsi" w:cs="Arial"/>
          <w:sz w:val="20"/>
          <w:szCs w:val="20"/>
          <w:lang w:val="de-DE"/>
        </w:rPr>
        <w:tab/>
      </w:r>
      <w:r>
        <w:rPr>
          <w:rFonts w:asciiTheme="minorHAnsi" w:eastAsia="Arial" w:hAnsiTheme="minorHAnsi" w:cs="Arial"/>
          <w:sz w:val="20"/>
          <w:szCs w:val="20"/>
          <w:lang w:val="de-DE"/>
        </w:rPr>
        <w:tab/>
      </w:r>
    </w:p>
    <w:p w14:paraId="31F9B94E" w14:textId="77777777">
      <w:pPr>
        <w:spacing w:after="0" w:line="240" w:lineRule="auto"/>
        <w:jc w:val="center"/>
        <w:rPr>
          <w:rFonts w:asciiTheme="minorHAnsi" w:hAnsiTheme="minorHAnsi"/>
          <w:sz w:val="20"/>
          <w:szCs w:val="20"/>
        </w:rPr>
      </w:pPr>
      <w:r>
        <w:rPr>
          <w:rFonts w:asciiTheme="minorHAnsi" w:eastAsia="Arial" w:hAnsiTheme="minorHAnsi" w:cs="Arial"/>
          <w:sz w:val="20"/>
          <w:szCs w:val="20"/>
          <w:vertAlign w:val="superscript"/>
        </w:rPr>
        <w:t>1234</w:t>
      </w:r>
      <w:r>
        <w:rPr>
          <w:rFonts w:asciiTheme="minorHAnsi" w:eastAsia="Arial" w:hAnsiTheme="minorHAnsi" w:cs="Arial"/>
          <w:sz w:val="20"/>
          <w:szCs w:val="20"/>
        </w:rPr>
        <w:t>Christ Anglican College, Gwagwalada, Abuja, Nigeria</w:t>
      </w:r>
    </w:p>
    <w:p w14:paraId="5446BE5A" w14:textId="77777777">
      <w:pPr>
        <w:spacing w:after="0" w:line="240" w:lineRule="auto"/>
        <w:jc w:val="center"/>
        <w:rPr>
          <w:rFonts w:asciiTheme="minorHAnsi" w:hAnsiTheme="minorHAnsi"/>
          <w:sz w:val="20"/>
          <w:szCs w:val="20"/>
        </w:rPr>
      </w:pPr>
      <w:r>
        <w:rPr>
          <w:rFonts w:asciiTheme="minorHAnsi" w:eastAsia="Arial" w:hAnsiTheme="minorHAnsi" w:cs="Arial"/>
          <w:sz w:val="20"/>
          <w:szCs w:val="20"/>
        </w:rPr>
        <w:t>System implementation site: Christ Anglican College, Gwagwalada, FCT Abuja, Nigeria</w:t>
      </w:r>
      <w:r>
        <w:rPr>
          <w:rFonts w:asciiTheme="minorHAnsi" w:eastAsia="Arial" w:hAnsiTheme="minorHAnsi" w:cs="Arial"/>
          <w:sz w:val="20"/>
          <w:szCs w:val="20"/>
        </w:rPr>
        <w:br/>
        <w:t xml:space="preserve">Corresponding author: </w:t>
      </w:r>
      <w:hyperlink r:id="rId12" w:history="1">
        <w:r>
          <w:rPr>
            <w:rStyle w:val="Hyperlink"/>
            <w:rFonts w:asciiTheme="minorHAnsi" w:hAnsiTheme="minorHAnsi"/>
            <w:sz w:val="20"/>
            <w:szCs w:val="20"/>
          </w:rPr>
          <w:t>chiakenneth01@gmail.com</w:t>
        </w:r>
      </w:hyperlink>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2469"/>
        <w:gridCol w:w="2469"/>
        <w:gridCol w:w="2469"/>
        <w:gridCol w:w="2469"/>
      </w:tblGrid>
      <w:tr w14:paraId="187134B3" w14:textId="77777777">
        <w:trPr>
          <w:tblHeader/>
          <w:jc w:val="center"/>
        </w:trPr>
        <w:tc>
          <w:tcPr>
            <w:tcW w:w="2469" w:type="dxa"/>
            <w:shd w:val="clear" w:color="auto" w:fill="071A45"/>
            <w:tcMar>
              <w:top w:w="80" w:type="dxa"/>
              <w:left w:w="90" w:type="dxa"/>
              <w:bottom w:w="80" w:type="dxa"/>
              <w:right w:w="90" w:type="dxa"/>
            </w:tcMar>
            <w:vAlign w:val="center"/>
          </w:tcPr>
          <w:p w14:paraId="39015471" w14:textId="77777777">
            <w:pPr>
              <w:spacing w:after="0" w:line="240" w:lineRule="auto"/>
              <w:jc w:val="center"/>
              <w:rPr>
                <w:rFonts w:asciiTheme="minorHAnsi" w:hAnsiTheme="minorHAnsi"/>
                <w:sz w:val="20"/>
                <w:szCs w:val="20"/>
              </w:rPr>
            </w:pPr>
            <w:r>
              <w:rPr>
                <w:rFonts w:asciiTheme="minorHAnsi" w:eastAsia="Arial" w:hAnsiTheme="minorHAnsi" w:cs="Arial"/>
                <w:b/>
                <w:color w:val="FFFFFF"/>
                <w:sz w:val="20"/>
                <w:szCs w:val="20"/>
              </w:rPr>
              <w:t>Article</w:t>
            </w:r>
          </w:p>
        </w:tc>
        <w:tc>
          <w:tcPr>
            <w:tcW w:w="2469" w:type="dxa"/>
            <w:shd w:val="clear" w:color="auto" w:fill="071A45"/>
            <w:tcMar>
              <w:top w:w="80" w:type="dxa"/>
              <w:left w:w="90" w:type="dxa"/>
              <w:bottom w:w="80" w:type="dxa"/>
              <w:right w:w="90" w:type="dxa"/>
            </w:tcMar>
            <w:vAlign w:val="center"/>
          </w:tcPr>
          <w:p w14:paraId="0311536A" w14:textId="77777777">
            <w:pPr>
              <w:spacing w:after="0" w:line="240" w:lineRule="auto"/>
              <w:jc w:val="center"/>
              <w:rPr>
                <w:rFonts w:asciiTheme="minorHAnsi" w:hAnsiTheme="minorHAnsi"/>
                <w:sz w:val="20"/>
                <w:szCs w:val="20"/>
              </w:rPr>
            </w:pPr>
            <w:r>
              <w:rPr>
                <w:rFonts w:asciiTheme="minorHAnsi" w:eastAsia="Arial" w:hAnsiTheme="minorHAnsi" w:cs="Arial"/>
                <w:b/>
                <w:color w:val="FFFFFF"/>
                <w:sz w:val="20"/>
                <w:szCs w:val="20"/>
              </w:rPr>
              <w:t>Volume/Issue</w:t>
            </w:r>
          </w:p>
        </w:tc>
        <w:tc>
          <w:tcPr>
            <w:tcW w:w="2469" w:type="dxa"/>
            <w:shd w:val="clear" w:color="auto" w:fill="071A45"/>
            <w:tcMar>
              <w:top w:w="80" w:type="dxa"/>
              <w:left w:w="90" w:type="dxa"/>
              <w:bottom w:w="80" w:type="dxa"/>
              <w:right w:w="90" w:type="dxa"/>
            </w:tcMar>
            <w:vAlign w:val="center"/>
          </w:tcPr>
          <w:p w14:paraId="4AB9AD40" w14:textId="77777777">
            <w:pPr>
              <w:spacing w:after="0" w:line="240" w:lineRule="auto"/>
              <w:jc w:val="center"/>
              <w:rPr>
                <w:rFonts w:asciiTheme="minorHAnsi" w:hAnsiTheme="minorHAnsi"/>
                <w:sz w:val="20"/>
                <w:szCs w:val="20"/>
              </w:rPr>
            </w:pPr>
            <w:r>
              <w:rPr>
                <w:rFonts w:asciiTheme="minorHAnsi" w:eastAsia="Arial" w:hAnsiTheme="minorHAnsi" w:cs="Arial"/>
                <w:b/>
                <w:color w:val="FFFFFF"/>
                <w:sz w:val="20"/>
                <w:szCs w:val="20"/>
              </w:rPr>
              <w:t>Publication</w:t>
            </w:r>
          </w:p>
        </w:tc>
        <w:tc>
          <w:tcPr>
            <w:tcW w:w="2469" w:type="dxa"/>
            <w:shd w:val="clear" w:color="auto" w:fill="071A45"/>
            <w:tcMar>
              <w:top w:w="80" w:type="dxa"/>
              <w:left w:w="90" w:type="dxa"/>
              <w:bottom w:w="80" w:type="dxa"/>
              <w:right w:w="90" w:type="dxa"/>
            </w:tcMar>
            <w:vAlign w:val="center"/>
          </w:tcPr>
          <w:p w14:paraId="50383C61" w14:textId="77777777">
            <w:pPr>
              <w:spacing w:after="0" w:line="240" w:lineRule="auto"/>
              <w:jc w:val="center"/>
              <w:rPr>
                <w:rFonts w:asciiTheme="minorHAnsi" w:hAnsiTheme="minorHAnsi"/>
                <w:sz w:val="20"/>
                <w:szCs w:val="20"/>
              </w:rPr>
            </w:pPr>
            <w:r>
              <w:rPr>
                <w:rFonts w:asciiTheme="minorHAnsi" w:eastAsia="Arial" w:hAnsiTheme="minorHAnsi" w:cs="Arial"/>
                <w:b/>
                <w:color w:val="FFFFFF"/>
                <w:sz w:val="20"/>
                <w:szCs w:val="20"/>
              </w:rPr>
              <w:t>Identifiers</w:t>
            </w:r>
          </w:p>
        </w:tc>
      </w:tr>
      <w:tr w14:paraId="6644D4A7" w14:textId="77777777">
        <w:trPr>
          <w:jc w:val="center"/>
        </w:trPr>
        <w:tc>
          <w:tcPr>
            <w:tcW w:w="2469" w:type="dxa"/>
            <w:tcMar>
              <w:top w:w="80" w:type="dxa"/>
              <w:left w:w="90" w:type="dxa"/>
              <w:bottom w:w="80" w:type="dxa"/>
              <w:right w:w="90" w:type="dxa"/>
            </w:tcMar>
            <w:vAlign w:val="center"/>
          </w:tcPr>
          <w:p w14:paraId="49FF7A3D" w14:textId="77777777">
            <w:pPr>
              <w:spacing w:after="0" w:line="240" w:lineRule="auto"/>
              <w:jc w:val="center"/>
              <w:rPr>
                <w:rFonts w:asciiTheme="minorHAnsi" w:hAnsiTheme="minorHAnsi"/>
                <w:sz w:val="20"/>
                <w:szCs w:val="20"/>
              </w:rPr>
            </w:pPr>
            <w:r>
              <w:rPr>
                <w:rFonts w:asciiTheme="minorHAnsi" w:eastAsia="Arial" w:hAnsiTheme="minorHAnsi" w:cs="Arial"/>
                <w:sz w:val="20"/>
                <w:szCs w:val="20"/>
              </w:rPr>
              <w:t>e001</w:t>
            </w:r>
          </w:p>
        </w:tc>
        <w:tc>
          <w:tcPr>
            <w:tcW w:w="2469" w:type="dxa"/>
            <w:tcMar>
              <w:top w:w="80" w:type="dxa"/>
              <w:left w:w="90" w:type="dxa"/>
              <w:bottom w:w="80" w:type="dxa"/>
              <w:right w:w="90" w:type="dxa"/>
            </w:tcMar>
            <w:vAlign w:val="center"/>
          </w:tcPr>
          <w:p w14:paraId="69014D60" w14:textId="77777777">
            <w:pPr>
              <w:spacing w:after="0" w:line="240" w:lineRule="auto"/>
              <w:jc w:val="center"/>
              <w:rPr>
                <w:rFonts w:asciiTheme="minorHAnsi" w:hAnsiTheme="minorHAnsi"/>
                <w:sz w:val="20"/>
                <w:szCs w:val="20"/>
              </w:rPr>
            </w:pPr>
            <w:r>
              <w:rPr>
                <w:rFonts w:asciiTheme="minorHAnsi" w:eastAsia="Arial" w:hAnsiTheme="minorHAnsi" w:cs="Arial"/>
                <w:sz w:val="20"/>
                <w:szCs w:val="20"/>
              </w:rPr>
              <w:t>1(1)</w:t>
            </w:r>
          </w:p>
        </w:tc>
        <w:tc>
          <w:tcPr>
            <w:tcW w:w="2469" w:type="dxa"/>
            <w:tcMar>
              <w:top w:w="80" w:type="dxa"/>
              <w:left w:w="90" w:type="dxa"/>
              <w:bottom w:w="80" w:type="dxa"/>
              <w:right w:w="90" w:type="dxa"/>
            </w:tcMar>
            <w:vAlign w:val="center"/>
          </w:tcPr>
          <w:p w14:paraId="72024632" w14:textId="77777777">
            <w:pPr>
              <w:spacing w:after="0" w:line="240" w:lineRule="auto"/>
              <w:jc w:val="center"/>
              <w:rPr>
                <w:rFonts w:asciiTheme="minorHAnsi" w:hAnsiTheme="minorHAnsi"/>
                <w:sz w:val="20"/>
                <w:szCs w:val="20"/>
              </w:rPr>
            </w:pPr>
            <w:r>
              <w:rPr>
                <w:rFonts w:asciiTheme="minorHAnsi" w:eastAsia="Arial" w:hAnsiTheme="minorHAnsi" w:cs="Arial"/>
                <w:sz w:val="20"/>
                <w:szCs w:val="20"/>
              </w:rPr>
              <w:t>Pioneer Publication · July 2026</w:t>
            </w:r>
          </w:p>
        </w:tc>
        <w:tc>
          <w:tcPr>
            <w:tcW w:w="2469" w:type="dxa"/>
            <w:tcMar>
              <w:top w:w="80" w:type="dxa"/>
              <w:left w:w="90" w:type="dxa"/>
              <w:bottom w:w="80" w:type="dxa"/>
              <w:right w:w="90" w:type="dxa"/>
            </w:tcMar>
            <w:vAlign w:val="center"/>
          </w:tcPr>
          <w:p w14:paraId="5C4BE2B3" w14:textId="77777777">
            <w:pPr>
              <w:spacing w:after="0" w:line="240" w:lineRule="auto"/>
              <w:jc w:val="center"/>
              <w:rPr>
                <w:rFonts w:asciiTheme="minorHAnsi" w:hAnsiTheme="minorHAnsi"/>
                <w:sz w:val="20"/>
                <w:szCs w:val="20"/>
              </w:rPr>
            </w:pPr>
            <w:r>
              <w:rPr>
                <w:rFonts w:asciiTheme="minorHAnsi" w:eastAsia="Arial" w:hAnsiTheme="minorHAnsi" w:cs="Arial"/>
                <w:sz w:val="20"/>
                <w:szCs w:val="20"/>
              </w:rPr>
              <w:t>ISSN: Pending assignment · DOI: Pending registration</w:t>
            </w:r>
          </w:p>
        </w:tc>
      </w:tr>
    </w:tbl>
    <w:p w14:paraId="799EEC85" w14:textId="77777777">
      <w:pPr>
        <w:pStyle w:val="Heading1"/>
        <w:spacing w:after="0"/>
        <w:rPr>
          <w:rFonts w:asciiTheme="minorHAnsi" w:hAnsiTheme="minorHAnsi"/>
          <w:sz w:val="20"/>
          <w:szCs w:val="20"/>
        </w:rPr>
      </w:pPr>
      <w:r>
        <w:rPr>
          <w:rFonts w:asciiTheme="minorHAnsi" w:hAnsiTheme="minorHAnsi"/>
          <w:sz w:val="20"/>
          <w:szCs w:val="20"/>
        </w:rPr>
        <w:t>Abstract</w:t>
      </w:r>
    </w:p>
    <w:p w14:paraId="60E4B30F" w14:textId="77777777">
      <w:pPr>
        <w:spacing w:after="0" w:line="240" w:lineRule="auto"/>
        <w:jc w:val="both"/>
        <w:rPr>
          <w:rFonts w:asciiTheme="minorHAnsi" w:hAnsiTheme="minorHAnsi"/>
          <w:sz w:val="20"/>
          <w:szCs w:val="20"/>
        </w:rPr>
      </w:pPr>
      <w:r>
        <w:rPr>
          <w:rFonts w:asciiTheme="minorHAnsi" w:eastAsia="Arial" w:hAnsiTheme="minorHAnsi" w:cs="Arial"/>
          <w:sz w:val="20"/>
          <w:szCs w:val="20"/>
        </w:rPr>
        <w:t>Computer-based assessment can reduce manual grading burden, strengthen test security, and improve examination administration when test assembly, access control, item exposure, usability, and infrastructure are engineered as a coherent system. This empirical design-science study evaluated the CACGWA Student Revision and Computer-Based Testing (CBT) Portal implemented at Christ Anglican College, Gwagwalada, Abuja, Nigeria, during the 2025/2026 end-of-session examinations. The field deployment involved 200 students and 15 examination administrators. For each subject, the assessment model used a 500-item objective question bank from which 70 unique questions were randomly selected without replacement for each candidate paper. The implemented portal integrated class- and subject-based revision, practice CBT, a 120-minute live examination, student and examination PIN controls, Progressive Web App (PWA) revision access, automatic objective scoring, and an examination-officer console for examination windows, candidate status, results, and incident management. Exact combinatorial and hypergeometric analysis, complemented by 1,000 Monte Carlo replications of 200 candidate papers, quantified the security properties of the 500-to-70 design. Approximately 4.439 × 10</w:t>
      </w:r>
      <w:r>
        <w:rPr>
          <w:rFonts w:asciiTheme="minorHAnsi" w:eastAsia="Arial" w:hAnsiTheme="minorHAnsi" w:cs="Arial"/>
          <w:sz w:val="20"/>
          <w:szCs w:val="20"/>
          <w:vertAlign w:val="superscript"/>
        </w:rPr>
        <w:t>86</w:t>
      </w:r>
      <w:r>
        <w:rPr>
          <w:rFonts w:asciiTheme="minorHAnsi" w:eastAsia="Arial" w:hAnsiTheme="minorHAnsi" w:cs="Arial"/>
          <w:sz w:val="20"/>
          <w:szCs w:val="20"/>
        </w:rPr>
        <w:t xml:space="preserve"> unordered 70-item forms are possible; two independently assembled papers share an expected 9.8 items, while the probability of an overlap of at least 20 items is approximately 0.000417. Each item is expected to appear in 28 of 200 candidate papers, with a theoretical exposure standard deviation of 4.91; simulation produced a mean maximum exposure of 43.9 candidates and a mean 95th-percentile pairwise overlap of about 14 items. The live deployment operated effectively as the school examination delivery mechanism. The findings demonstrate that large-bank, per-candidate randomization can produce substantial form diversity and low overlap, while blueprint-constrained assembly, secure randomization, accessibility, auditability, and infrastructure resilience remain essential for defensible high-stakes use.</w:t>
      </w:r>
    </w:p>
    <w:p w14:paraId="40B63352" w14:textId="77777777">
      <w:pPr>
        <w:spacing w:after="0" w:line="240" w:lineRule="auto"/>
        <w:jc w:val="both"/>
        <w:rPr>
          <w:rFonts w:asciiTheme="minorHAnsi" w:hAnsiTheme="minorHAnsi"/>
          <w:sz w:val="20"/>
          <w:szCs w:val="20"/>
        </w:rPr>
      </w:pPr>
      <w:r>
        <w:rPr>
          <w:rFonts w:asciiTheme="minorHAnsi" w:eastAsia="Arial" w:hAnsiTheme="minorHAnsi" w:cs="Arial"/>
          <w:b/>
          <w:bCs/>
          <w:sz w:val="20"/>
          <w:szCs w:val="20"/>
        </w:rPr>
        <w:t>Keywords:</w:t>
      </w:r>
      <w:r>
        <w:rPr>
          <w:rFonts w:asciiTheme="minorHAnsi" w:eastAsia="Arial" w:hAnsiTheme="minorHAnsi" w:cs="Arial"/>
          <w:sz w:val="20"/>
          <w:szCs w:val="20"/>
        </w:rPr>
        <w:t xml:space="preserve"> computer-based testing (CBT); item-bank randomization; randomized test assembly; Monte Carlo simulation; assessment security; digital assessment; secondary education; Nigeria</w:t>
      </w:r>
    </w:p>
    <w:p w14:paraId="3DAB408C" w14:textId="77777777">
      <w:pPr>
        <w:pStyle w:val="Heading1"/>
        <w:spacing w:after="0"/>
        <w:rPr>
          <w:rFonts w:asciiTheme="minorHAnsi" w:hAnsiTheme="minorHAnsi"/>
          <w:sz w:val="20"/>
          <w:szCs w:val="20"/>
        </w:rPr>
      </w:pPr>
      <w:r>
        <w:rPr>
          <w:rFonts w:asciiTheme="minorHAnsi" w:hAnsiTheme="minorHAnsi"/>
          <w:sz w:val="20"/>
          <w:szCs w:val="20"/>
        </w:rPr>
        <w:t>1. Introduction</w:t>
      </w:r>
    </w:p>
    <w:p w14:paraId="6DD820D6" w14:textId="77777777">
      <w:pPr>
        <w:spacing w:after="0"/>
        <w:jc w:val="both"/>
        <w:rPr>
          <w:rFonts w:asciiTheme="minorHAnsi" w:hAnsiTheme="minorHAnsi"/>
          <w:sz w:val="20"/>
          <w:szCs w:val="20"/>
        </w:rPr>
      </w:pPr>
      <w:r>
        <w:rPr>
          <w:rFonts w:asciiTheme="minorHAnsi" w:eastAsia="Arial" w:hAnsiTheme="minorHAnsi" w:cs="Arial"/>
          <w:sz w:val="20"/>
          <w:szCs w:val="20"/>
        </w:rPr>
        <w:t>Assessment is moving from fixed paper forms toward digitally assembled tests that can combine immediate scoring, controlled access, richer item presentation and stronger auditability. In Nigerian secondary education, this transition is especially consequential because students increasingly encounter computerised high-stakes examinations while access to computers and prior CBT experience remains uneven. Abdulkareem and Lennon (2025) reported that computer familiarity was positively associated with performance among Nigerian UTME candidates and documented substantial access differences by school type and location. This makes school-level practice and operationally realistic CBT exposure an equity issue as well as a technology issue.</w:t>
      </w:r>
    </w:p>
    <w:p w14:paraId="177093C0" w14:textId="77777777">
      <w:pPr>
        <w:spacing w:after="0"/>
        <w:jc w:val="both"/>
        <w:rPr>
          <w:rFonts w:asciiTheme="minorHAnsi" w:hAnsiTheme="minorHAnsi"/>
          <w:sz w:val="20"/>
          <w:szCs w:val="20"/>
        </w:rPr>
      </w:pPr>
      <w:r>
        <w:rPr>
          <w:rFonts w:asciiTheme="minorHAnsi" w:eastAsia="Arial" w:hAnsiTheme="minorHAnsi" w:cs="Arial"/>
          <w:sz w:val="20"/>
          <w:szCs w:val="20"/>
        </w:rPr>
        <w:t>Computer delivery alone does not guarantee validity or integrity. The 2014 Standards for Educational and Psychological Testing emphasize validity, fairness, reliability, accessibility and appropriate technology use, while the International Test Commission (2006) identifies technological, quality, control and security issues as core to computer- and Internet-delivered testing. At the same time, large-scale evidence shows that CBT can materially change the opportunity structure for examination fraud. Berkhout et al. (2024), studying Indonesia’s national examination transition, found substantial evidence that computerised delivery reduced opportunities for collusive cheating. These findings motivate a design in which candidate authentication, randomized item selection, timed delivery and auditable submissions operate together.</w:t>
      </w:r>
    </w:p>
    <w:p w14:paraId="54E0F6B4" w14:textId="77777777">
      <w:pPr>
        <w:spacing w:after="0"/>
        <w:jc w:val="both"/>
        <w:rPr>
          <w:rFonts w:asciiTheme="minorHAnsi" w:hAnsiTheme="minorHAnsi"/>
          <w:sz w:val="20"/>
          <w:szCs w:val="20"/>
        </w:rPr>
      </w:pPr>
      <w:r>
        <w:rPr>
          <w:rFonts w:asciiTheme="minorHAnsi" w:eastAsia="Arial" w:hAnsiTheme="minorHAnsi" w:cs="Arial"/>
          <w:sz w:val="20"/>
          <w:szCs w:val="20"/>
        </w:rPr>
        <w:t xml:space="preserve">The CACGWA Student Revision and CBT Portal </w:t>
      </w:r>
      <w:proofErr w:type="gramStart"/>
      <w:r>
        <w:rPr>
          <w:rFonts w:asciiTheme="minorHAnsi" w:eastAsia="Arial" w:hAnsiTheme="minorHAnsi" w:cs="Arial"/>
          <w:sz w:val="20"/>
          <w:szCs w:val="20"/>
        </w:rPr>
        <w:t>was</w:t>
      </w:r>
      <w:proofErr w:type="gramEnd"/>
      <w:r>
        <w:rPr>
          <w:rFonts w:asciiTheme="minorHAnsi" w:eastAsia="Arial" w:hAnsiTheme="minorHAnsi" w:cs="Arial"/>
          <w:sz w:val="20"/>
          <w:szCs w:val="20"/>
        </w:rPr>
        <w:t xml:space="preserve"> developed as a school-level response to the need for secure, efficient, and digitally supported assessment. The 2025/2026 implementation involved 200 students and 15 examination administrators and addressed recurring challenges associated with paper-based examinations, including printing </w:t>
      </w:r>
      <w:r>
        <w:rPr>
          <w:rFonts w:asciiTheme="minorHAnsi" w:eastAsia="Arial" w:hAnsiTheme="minorHAnsi" w:cs="Arial"/>
          <w:sz w:val="20"/>
          <w:szCs w:val="20"/>
        </w:rPr>
        <w:lastRenderedPageBreak/>
        <w:t>burden, result-processing delays, script handling, manual scoring error, and exposure to examination malpractice. By integrating revision, practice CBT, and live examination functions within the same environment, the platform also provides repeated low-stakes exposure to the interface before high-stakes testing, thereby supporting digital familiarity and assessment readiness.</w:t>
      </w:r>
    </w:p>
    <w:p w14:paraId="55653BF2" w14:textId="77777777">
      <w:pPr>
        <w:spacing w:after="0"/>
        <w:jc w:val="both"/>
        <w:rPr>
          <w:rFonts w:asciiTheme="minorHAnsi" w:hAnsiTheme="minorHAnsi"/>
          <w:sz w:val="20"/>
          <w:szCs w:val="20"/>
        </w:rPr>
      </w:pPr>
      <w:r>
        <w:rPr>
          <w:rFonts w:asciiTheme="minorHAnsi" w:eastAsia="Arial" w:hAnsiTheme="minorHAnsi" w:cs="Arial"/>
          <w:sz w:val="20"/>
          <w:szCs w:val="20"/>
        </w:rPr>
        <w:t>The central engineering feature examined in this paper is the use of a 500-question subject bank with 70 questions randomly selected without replacement for each candidate. Randomization is intuitively attractive for reducing answer copying, but its actual security value depends on the size of the form space, pairwise overlap, item exposure and content balance. The present study therefore combines operational case evidence with exact probability analysis and Monte Carlo simulation instead of merely asserting that randomization “improves security.”</w:t>
      </w:r>
    </w:p>
    <w:p w14:paraId="27B9839D" w14:textId="77777777">
      <w:pPr>
        <w:pStyle w:val="Heading1"/>
        <w:spacing w:after="0"/>
        <w:jc w:val="both"/>
        <w:rPr>
          <w:rFonts w:asciiTheme="minorHAnsi" w:hAnsiTheme="minorHAnsi"/>
          <w:color w:val="000000" w:themeColor="text1"/>
          <w:sz w:val="20"/>
          <w:szCs w:val="20"/>
        </w:rPr>
      </w:pPr>
      <w:r>
        <w:rPr>
          <w:rFonts w:asciiTheme="minorHAnsi" w:hAnsiTheme="minorHAnsi"/>
          <w:color w:val="000000" w:themeColor="text1"/>
          <w:sz w:val="20"/>
          <w:szCs w:val="20"/>
        </w:rPr>
        <w:t>1.1 Aim and objectives</w:t>
      </w:r>
    </w:p>
    <w:p w14:paraId="12FAE991" w14:textId="77777777">
      <w:pPr>
        <w:spacing w:after="0"/>
        <w:jc w:val="both"/>
        <w:rPr>
          <w:rFonts w:asciiTheme="minorHAnsi" w:hAnsiTheme="minorHAnsi"/>
          <w:color w:val="000000" w:themeColor="text1"/>
          <w:sz w:val="20"/>
          <w:szCs w:val="20"/>
        </w:rPr>
      </w:pPr>
      <w:r>
        <w:rPr>
          <w:rFonts w:asciiTheme="minorHAnsi" w:eastAsia="Arial" w:hAnsiTheme="minorHAnsi" w:cs="Arial"/>
          <w:color w:val="000000" w:themeColor="text1"/>
          <w:sz w:val="20"/>
          <w:szCs w:val="20"/>
        </w:rPr>
        <w:t>The aim of the study was to evaluate the design, implementation, and operational effectiveness of the CACGWA portal as a secure and scalable school CBT system, with particular attention to the statistical consequences of its 500-item-bank/70-item-paper architecture.</w:t>
      </w:r>
    </w:p>
    <w:p w14:paraId="3EDF16C0" w14:textId="77777777">
      <w:pPr>
        <w:pStyle w:val="Heading2"/>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1. Document the functional architecture and user workflow of the deployed revision and live CBT system.</w:t>
      </w:r>
    </w:p>
    <w:p w14:paraId="0F788AA3" w14:textId="77777777">
      <w:pPr>
        <w:pStyle w:val="Heading2"/>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2. Quantify the number of possible examination forms, expected pairwise overlap, and item exposure produced by random 70-of-500 selection.</w:t>
      </w:r>
    </w:p>
    <w:p w14:paraId="1E6B3C40" w14:textId="77777777">
      <w:pPr>
        <w:pStyle w:val="Heading2"/>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3. Use reproducible simulation to assess exposure concentration, overlap tails, and the effect of bank size on test-form diversity.</w:t>
      </w:r>
    </w:p>
    <w:p w14:paraId="12F31D19" w14:textId="77777777">
      <w:pPr>
        <w:pStyle w:val="Heading2"/>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4. Evaluate the design against educational measurement, security, accessibility, and operational-control principles.</w:t>
      </w:r>
    </w:p>
    <w:p w14:paraId="13B00441" w14:textId="77777777">
      <w:pPr>
        <w:pStyle w:val="Heading2"/>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5. Evaluate the 2025/2026 field deployment in relation to operational feasibility and scalable examination administration.</w:t>
      </w:r>
    </w:p>
    <w:p w14:paraId="629FDF9E" w14:textId="77777777">
      <w:pPr>
        <w:pStyle w:val="Heading1"/>
        <w:spacing w:before="0" w:after="0"/>
        <w:jc w:val="both"/>
        <w:rPr>
          <w:rFonts w:asciiTheme="minorHAnsi" w:hAnsiTheme="minorHAnsi"/>
          <w:color w:val="000000" w:themeColor="text1"/>
          <w:sz w:val="20"/>
          <w:szCs w:val="20"/>
        </w:rPr>
      </w:pPr>
      <w:r>
        <w:rPr>
          <w:rFonts w:asciiTheme="minorHAnsi" w:hAnsiTheme="minorHAnsi"/>
          <w:color w:val="000000" w:themeColor="text1"/>
          <w:sz w:val="20"/>
          <w:szCs w:val="20"/>
        </w:rPr>
        <w:t>1.2 Research questions</w:t>
      </w:r>
    </w:p>
    <w:p w14:paraId="2A529E78" w14:textId="77777777">
      <w:pPr>
        <w:pStyle w:val="Heading1"/>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1. What system components and controls are required to support revision, practice, live CBT, scoring, and examination administration in the CACGWA context?</w:t>
      </w:r>
    </w:p>
    <w:p w14:paraId="3E9634EA" w14:textId="77777777">
      <w:pPr>
        <w:pStyle w:val="Heading1"/>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2. How much form diversity is produced when each candidate receives 70 questions sampled without replacement from a 500-item subject bank?</w:t>
      </w:r>
    </w:p>
    <w:p w14:paraId="2378CE40" w14:textId="77777777">
      <w:pPr>
        <w:pStyle w:val="Heading1"/>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3. What levels of pairwise item overlap and per-item exposure should be expected for a 200-candidate examination cohort?</w:t>
      </w:r>
    </w:p>
    <w:p w14:paraId="6C8D2D89" w14:textId="77777777">
      <w:pPr>
        <w:pStyle w:val="Heading1"/>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4. Does simple random selection preserve adequate content balance, or is blueprint-constrained randomization preferable?</w:t>
      </w:r>
    </w:p>
    <w:p w14:paraId="7F18DB20" w14:textId="77777777">
      <w:pPr>
        <w:pStyle w:val="Heading1"/>
        <w:spacing w:before="0" w:after="0"/>
        <w:ind w:left="317" w:hanging="259"/>
        <w:jc w:val="both"/>
        <w:rPr>
          <w:rFonts w:asciiTheme="minorHAnsi" w:hAnsiTheme="minorHAnsi"/>
          <w:b w:val="0"/>
          <w:bCs w:val="0"/>
          <w:color w:val="000000" w:themeColor="text1"/>
          <w:sz w:val="20"/>
          <w:szCs w:val="20"/>
        </w:rPr>
      </w:pPr>
      <w:r>
        <w:rPr>
          <w:rFonts w:asciiTheme="minorHAnsi" w:eastAsia="Arial" w:hAnsiTheme="minorHAnsi" w:cs="Arial"/>
          <w:b w:val="0"/>
          <w:bCs w:val="0"/>
          <w:color w:val="000000" w:themeColor="text1"/>
          <w:sz w:val="20"/>
          <w:szCs w:val="20"/>
        </w:rPr>
        <w:t>5. How effectively did the CACGWA portal support the 2025/2026 end-of-session examination workflow in the case-school context?</w:t>
      </w:r>
    </w:p>
    <w:p w14:paraId="779B4C4A" w14:textId="77777777">
      <w:pPr>
        <w:pStyle w:val="Heading1"/>
        <w:spacing w:before="0" w:after="0"/>
        <w:jc w:val="both"/>
        <w:rPr>
          <w:rFonts w:asciiTheme="minorHAnsi" w:hAnsiTheme="minorHAnsi"/>
          <w:b w:val="0"/>
          <w:bCs w:val="0"/>
          <w:sz w:val="20"/>
          <w:szCs w:val="20"/>
        </w:rPr>
      </w:pPr>
      <w:r>
        <w:rPr>
          <w:rFonts w:asciiTheme="minorHAnsi" w:hAnsiTheme="minorHAnsi"/>
          <w:b w:val="0"/>
          <w:bCs w:val="0"/>
          <w:sz w:val="20"/>
          <w:szCs w:val="20"/>
        </w:rPr>
        <w:t>2. Literature Review and Analytical Framework</w:t>
      </w:r>
    </w:p>
    <w:p w14:paraId="1BCAA1DB" w14:textId="77777777">
      <w:pPr>
        <w:pStyle w:val="Heading1"/>
        <w:spacing w:after="0"/>
        <w:jc w:val="both"/>
        <w:rPr>
          <w:rFonts w:asciiTheme="minorHAnsi" w:hAnsiTheme="minorHAnsi"/>
          <w:sz w:val="20"/>
          <w:szCs w:val="20"/>
        </w:rPr>
      </w:pPr>
      <w:r>
        <w:rPr>
          <w:rFonts w:asciiTheme="minorHAnsi" w:hAnsiTheme="minorHAnsi"/>
          <w:sz w:val="20"/>
          <w:szCs w:val="20"/>
        </w:rPr>
        <w:t>2.1 CBT, fairness and digital readiness</w:t>
      </w:r>
    </w:p>
    <w:p w14:paraId="47B0027C" w14:textId="77777777">
      <w:pPr>
        <w:spacing w:after="0"/>
        <w:jc w:val="both"/>
        <w:rPr>
          <w:rFonts w:asciiTheme="minorHAnsi" w:hAnsiTheme="minorHAnsi"/>
          <w:sz w:val="20"/>
          <w:szCs w:val="20"/>
        </w:rPr>
      </w:pPr>
      <w:r>
        <w:rPr>
          <w:rFonts w:asciiTheme="minorHAnsi" w:eastAsia="Arial" w:hAnsiTheme="minorHAnsi" w:cs="Arial"/>
          <w:sz w:val="20"/>
          <w:szCs w:val="20"/>
        </w:rPr>
        <w:t>Nigerian evidence cautions against assuming that mode of delivery is neutral. Abanobi et al. (2023) compared CBT and paper-and-pencil testing among SSII Economics students and found a statistically significant difference in achievement scores, while test anxiety differences were not significant. Abdulkareem and Lennon (2025) similarly show that familiarity with computers and prior CBT exposure are relevant to performance in Nigeria. The implication for school systems is that revision and practice modules are not peripheral conveniences; they are part of the fairness architecture because they reduce construct-irrelevant variance attributable to unfamiliar navigation or device use.</w:t>
      </w:r>
    </w:p>
    <w:p w14:paraId="465C242A" w14:textId="77777777">
      <w:pPr>
        <w:pStyle w:val="Heading1"/>
        <w:spacing w:after="0"/>
        <w:jc w:val="both"/>
        <w:rPr>
          <w:rFonts w:asciiTheme="minorHAnsi" w:hAnsiTheme="minorHAnsi"/>
          <w:sz w:val="20"/>
          <w:szCs w:val="20"/>
        </w:rPr>
      </w:pPr>
      <w:r>
        <w:rPr>
          <w:rFonts w:asciiTheme="minorHAnsi" w:hAnsiTheme="minorHAnsi"/>
          <w:sz w:val="20"/>
          <w:szCs w:val="20"/>
        </w:rPr>
        <w:t>2.2 Randomization, item exposure and test security</w:t>
      </w:r>
    </w:p>
    <w:p w14:paraId="57E44648" w14:textId="77777777">
      <w:pPr>
        <w:spacing w:after="0"/>
        <w:jc w:val="both"/>
        <w:rPr>
          <w:rFonts w:asciiTheme="minorHAnsi" w:hAnsiTheme="minorHAnsi"/>
          <w:sz w:val="20"/>
          <w:szCs w:val="20"/>
        </w:rPr>
      </w:pPr>
      <w:r>
        <w:rPr>
          <w:rFonts w:asciiTheme="minorHAnsi" w:eastAsia="Arial" w:hAnsiTheme="minorHAnsi" w:cs="Arial"/>
          <w:sz w:val="20"/>
          <w:szCs w:val="20"/>
        </w:rPr>
        <w:t>Item-pool security has long been recognized as a central problem in computerized testing. Way (1998) discussed threats to computerized item pools and exposure control; Zhang and Chang (2005) examined the use of multiple pools for security; Yi, Zhang, and Chang (2008) used simulation to investigate organized item theft; and Liu, Han, and Li (2019) demonstrated how compromised-item behavior can be studied through simulation and exposure control. Although the CACGWA system is not a computerized adaptive test, these principles remain directly relevant: broad form diversity, controlled exposure, randomization and auditability reduce predictability and limit the usefulness of pre-sharing fixed forms.</w:t>
      </w:r>
    </w:p>
    <w:p w14:paraId="6B692EFD" w14:textId="77777777">
      <w:pPr>
        <w:pStyle w:val="Heading1"/>
        <w:spacing w:after="0"/>
        <w:jc w:val="both"/>
        <w:rPr>
          <w:rFonts w:asciiTheme="minorHAnsi" w:hAnsiTheme="minorHAnsi"/>
          <w:sz w:val="20"/>
          <w:szCs w:val="20"/>
        </w:rPr>
      </w:pPr>
      <w:r>
        <w:rPr>
          <w:rFonts w:asciiTheme="minorHAnsi" w:hAnsiTheme="minorHAnsi"/>
          <w:sz w:val="20"/>
          <w:szCs w:val="20"/>
        </w:rPr>
        <w:t>2.3 Design-science perspective</w:t>
      </w:r>
    </w:p>
    <w:p w14:paraId="3D3CA343" w14:textId="77777777">
      <w:pPr>
        <w:spacing w:after="0"/>
        <w:jc w:val="both"/>
        <w:rPr>
          <w:rFonts w:asciiTheme="minorHAnsi" w:hAnsiTheme="minorHAnsi"/>
          <w:sz w:val="20"/>
          <w:szCs w:val="20"/>
        </w:rPr>
      </w:pPr>
      <w:r>
        <w:rPr>
          <w:rFonts w:asciiTheme="minorHAnsi" w:eastAsia="Arial" w:hAnsiTheme="minorHAnsi" w:cs="Arial"/>
          <w:sz w:val="20"/>
          <w:szCs w:val="20"/>
        </w:rPr>
        <w:t>The portal is treated as a socio-technical artifact whose performance depends on the interaction among software, candidate behavior, examination administration, question-bank quality, power and network conditions, and institutional rules. The evaluation therefore integrates three complementary analytical layers: operational field evaluation, mathematical verification of the test-assembly design, and Monte Carlo simulation. This design-science triangulation permits simultaneous assessment of real-world implementation and the statistical properties of individualized paper generation.</w:t>
      </w:r>
    </w:p>
    <w:p w14:paraId="5A5004D9" w14:textId="77777777">
      <w:pPr>
        <w:spacing w:after="0"/>
        <w:jc w:val="both"/>
        <w:rPr>
          <w:rFonts w:asciiTheme="minorHAnsi" w:hAnsiTheme="minorHAnsi"/>
          <w:sz w:val="20"/>
          <w:szCs w:val="20"/>
        </w:rPr>
      </w:pPr>
    </w:p>
    <w:p w14:paraId="4AD6EBEC" w14:textId="77777777">
      <w:pPr>
        <w:pStyle w:val="Heading1"/>
        <w:spacing w:before="0" w:after="0"/>
        <w:jc w:val="both"/>
        <w:rPr>
          <w:rFonts w:asciiTheme="minorHAnsi" w:hAnsiTheme="minorHAnsi"/>
          <w:sz w:val="20"/>
          <w:szCs w:val="20"/>
        </w:rPr>
      </w:pPr>
      <w:r>
        <w:rPr>
          <w:rFonts w:asciiTheme="minorHAnsi" w:hAnsiTheme="minorHAnsi"/>
          <w:sz w:val="20"/>
          <w:szCs w:val="20"/>
        </w:rPr>
        <w:t>3. Materials and Methods</w:t>
      </w:r>
    </w:p>
    <w:p w14:paraId="32259693" w14:textId="77777777">
      <w:pPr>
        <w:pStyle w:val="Heading1"/>
        <w:spacing w:after="0"/>
        <w:jc w:val="both"/>
        <w:rPr>
          <w:rFonts w:asciiTheme="minorHAnsi" w:hAnsiTheme="minorHAnsi"/>
          <w:sz w:val="20"/>
          <w:szCs w:val="20"/>
        </w:rPr>
      </w:pPr>
      <w:r>
        <w:rPr>
          <w:rFonts w:asciiTheme="minorHAnsi" w:hAnsiTheme="minorHAnsi"/>
          <w:sz w:val="20"/>
          <w:szCs w:val="20"/>
        </w:rPr>
        <w:t>3.1 Study design</w:t>
      </w:r>
    </w:p>
    <w:p w14:paraId="670E5712" w14:textId="77777777">
      <w:pPr>
        <w:spacing w:after="0"/>
        <w:jc w:val="both"/>
        <w:rPr>
          <w:rFonts w:asciiTheme="minorHAnsi" w:hAnsiTheme="minorHAnsi"/>
          <w:sz w:val="20"/>
          <w:szCs w:val="20"/>
        </w:rPr>
      </w:pPr>
      <w:r>
        <w:rPr>
          <w:rFonts w:asciiTheme="minorHAnsi" w:eastAsia="Arial" w:hAnsiTheme="minorHAnsi" w:cs="Arial"/>
          <w:sz w:val="20"/>
          <w:szCs w:val="20"/>
        </w:rPr>
        <w:t>A pragmatic design-science case-study design was adopted, combining post-deployment operational evaluation, functional system verification, exact probability modelling, and Monte Carlo simulation. The field setting was Christ Anglican College, Gwagwalada, FCT Abuja, Nigeria. The operational implementation occurred during the 2025/2026 end-of-session examinations and involved 200 students and 15 examination administrators. The evaluation examined the deployed revision and examination workflow, candidate access controls, question-bank assembly, timing and scoring processes, administrative oversight, and the statistical properties of candidate-specific randomized papers.</w:t>
      </w:r>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1863"/>
        <w:gridCol w:w="2702"/>
        <w:gridCol w:w="2421"/>
        <w:gridCol w:w="3125"/>
      </w:tblGrid>
      <w:tr w14:paraId="7A352C99" w14:textId="77777777">
        <w:trPr>
          <w:tblHeader/>
          <w:jc w:val="center"/>
        </w:trPr>
        <w:tc>
          <w:tcPr>
            <w:tcW w:w="1872" w:type="dxa"/>
            <w:shd w:val="clear" w:color="auto" w:fill="071A45"/>
            <w:tcMar>
              <w:top w:w="80" w:type="dxa"/>
              <w:left w:w="90" w:type="dxa"/>
              <w:bottom w:w="80" w:type="dxa"/>
              <w:right w:w="90" w:type="dxa"/>
            </w:tcMar>
            <w:vAlign w:val="center"/>
          </w:tcPr>
          <w:p w14:paraId="2C2F4D4B"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Study component</w:t>
            </w:r>
          </w:p>
        </w:tc>
        <w:tc>
          <w:tcPr>
            <w:tcW w:w="2736" w:type="dxa"/>
            <w:shd w:val="clear" w:color="auto" w:fill="071A45"/>
            <w:tcMar>
              <w:top w:w="80" w:type="dxa"/>
              <w:left w:w="90" w:type="dxa"/>
              <w:bottom w:w="80" w:type="dxa"/>
              <w:right w:w="90" w:type="dxa"/>
            </w:tcMar>
            <w:vAlign w:val="center"/>
          </w:tcPr>
          <w:p w14:paraId="2DB50479"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Unit/setting</w:t>
            </w:r>
          </w:p>
        </w:tc>
        <w:tc>
          <w:tcPr>
            <w:tcW w:w="2448" w:type="dxa"/>
            <w:shd w:val="clear" w:color="auto" w:fill="071A45"/>
            <w:tcMar>
              <w:top w:w="80" w:type="dxa"/>
              <w:left w:w="90" w:type="dxa"/>
              <w:bottom w:w="80" w:type="dxa"/>
              <w:right w:w="90" w:type="dxa"/>
            </w:tcMar>
            <w:vAlign w:val="center"/>
          </w:tcPr>
          <w:p w14:paraId="147961B6"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Analytical purpose</w:t>
            </w:r>
          </w:p>
        </w:tc>
        <w:tc>
          <w:tcPr>
            <w:tcW w:w="3168" w:type="dxa"/>
            <w:shd w:val="clear" w:color="auto" w:fill="071A45"/>
            <w:tcMar>
              <w:top w:w="80" w:type="dxa"/>
              <w:left w:w="90" w:type="dxa"/>
              <w:bottom w:w="80" w:type="dxa"/>
              <w:right w:w="90" w:type="dxa"/>
            </w:tcMar>
            <w:vAlign w:val="center"/>
          </w:tcPr>
          <w:p w14:paraId="0FA64F19"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Method</w:t>
            </w:r>
          </w:p>
        </w:tc>
      </w:tr>
      <w:tr w14:paraId="73E34F98" w14:textId="77777777">
        <w:trPr>
          <w:jc w:val="center"/>
        </w:trPr>
        <w:tc>
          <w:tcPr>
            <w:tcW w:w="1872" w:type="dxa"/>
            <w:tcMar>
              <w:top w:w="80" w:type="dxa"/>
              <w:left w:w="90" w:type="dxa"/>
              <w:bottom w:w="80" w:type="dxa"/>
              <w:right w:w="90" w:type="dxa"/>
            </w:tcMar>
            <w:vAlign w:val="center"/>
          </w:tcPr>
          <w:p w14:paraId="64FCE476" w14:textId="77777777">
            <w:pPr>
              <w:spacing w:after="0" w:line="240" w:lineRule="auto"/>
              <w:rPr>
                <w:rFonts w:asciiTheme="minorHAnsi" w:hAnsiTheme="minorHAnsi"/>
                <w:sz w:val="20"/>
                <w:szCs w:val="20"/>
              </w:rPr>
            </w:pPr>
            <w:r>
              <w:rPr>
                <w:rFonts w:asciiTheme="minorHAnsi" w:eastAsia="Arial" w:hAnsiTheme="minorHAnsi" w:cs="Arial"/>
                <w:sz w:val="20"/>
                <w:szCs w:val="20"/>
              </w:rPr>
              <w:t>Field implementation</w:t>
            </w:r>
          </w:p>
        </w:tc>
        <w:tc>
          <w:tcPr>
            <w:tcW w:w="2736" w:type="dxa"/>
            <w:tcMar>
              <w:top w:w="80" w:type="dxa"/>
              <w:left w:w="90" w:type="dxa"/>
              <w:bottom w:w="80" w:type="dxa"/>
              <w:right w:w="90" w:type="dxa"/>
            </w:tcMar>
            <w:vAlign w:val="center"/>
          </w:tcPr>
          <w:p w14:paraId="54D57EDF" w14:textId="77777777">
            <w:pPr>
              <w:spacing w:after="0" w:line="240" w:lineRule="auto"/>
              <w:rPr>
                <w:rFonts w:asciiTheme="minorHAnsi" w:hAnsiTheme="minorHAnsi"/>
                <w:sz w:val="20"/>
                <w:szCs w:val="20"/>
              </w:rPr>
            </w:pPr>
            <w:r>
              <w:rPr>
                <w:rFonts w:asciiTheme="minorHAnsi" w:eastAsia="Arial" w:hAnsiTheme="minorHAnsi" w:cs="Arial"/>
                <w:sz w:val="20"/>
                <w:szCs w:val="20"/>
              </w:rPr>
              <w:t>2025/2026 end-of-session examination; n = 200 students; n = 15 administrators</w:t>
            </w:r>
          </w:p>
        </w:tc>
        <w:tc>
          <w:tcPr>
            <w:tcW w:w="2448" w:type="dxa"/>
            <w:tcMar>
              <w:top w:w="80" w:type="dxa"/>
              <w:left w:w="90" w:type="dxa"/>
              <w:bottom w:w="80" w:type="dxa"/>
              <w:right w:w="90" w:type="dxa"/>
            </w:tcMar>
            <w:vAlign w:val="center"/>
          </w:tcPr>
          <w:p w14:paraId="1D712275" w14:textId="77777777">
            <w:pPr>
              <w:spacing w:after="0" w:line="240" w:lineRule="auto"/>
              <w:rPr>
                <w:rFonts w:asciiTheme="minorHAnsi" w:hAnsiTheme="minorHAnsi"/>
                <w:sz w:val="20"/>
                <w:szCs w:val="20"/>
              </w:rPr>
            </w:pPr>
            <w:r>
              <w:rPr>
                <w:rFonts w:asciiTheme="minorHAnsi" w:eastAsia="Arial" w:hAnsiTheme="minorHAnsi" w:cs="Arial"/>
                <w:sz w:val="20"/>
                <w:szCs w:val="20"/>
              </w:rPr>
              <w:t>Evaluate operational use in a real school examination</w:t>
            </w:r>
          </w:p>
        </w:tc>
        <w:tc>
          <w:tcPr>
            <w:tcW w:w="3168" w:type="dxa"/>
            <w:tcMar>
              <w:top w:w="80" w:type="dxa"/>
              <w:left w:w="90" w:type="dxa"/>
              <w:bottom w:w="80" w:type="dxa"/>
              <w:right w:w="90" w:type="dxa"/>
            </w:tcMar>
            <w:vAlign w:val="center"/>
          </w:tcPr>
          <w:p w14:paraId="18439622" w14:textId="77777777">
            <w:pPr>
              <w:spacing w:after="0" w:line="240" w:lineRule="auto"/>
              <w:rPr>
                <w:rFonts w:asciiTheme="minorHAnsi" w:hAnsiTheme="minorHAnsi"/>
                <w:sz w:val="20"/>
                <w:szCs w:val="20"/>
              </w:rPr>
            </w:pPr>
            <w:r>
              <w:rPr>
                <w:rFonts w:asciiTheme="minorHAnsi" w:eastAsia="Arial" w:hAnsiTheme="minorHAnsi" w:cs="Arial"/>
                <w:sz w:val="20"/>
                <w:szCs w:val="20"/>
              </w:rPr>
              <w:t>Design-science case evaluation</w:t>
            </w:r>
          </w:p>
        </w:tc>
      </w:tr>
      <w:tr w14:paraId="4B6BD84F" w14:textId="77777777">
        <w:trPr>
          <w:jc w:val="center"/>
        </w:trPr>
        <w:tc>
          <w:tcPr>
            <w:tcW w:w="1872" w:type="dxa"/>
            <w:shd w:val="clear" w:color="auto" w:fill="F3F6FB"/>
            <w:tcMar>
              <w:top w:w="80" w:type="dxa"/>
              <w:left w:w="90" w:type="dxa"/>
              <w:bottom w:w="80" w:type="dxa"/>
              <w:right w:w="90" w:type="dxa"/>
            </w:tcMar>
            <w:vAlign w:val="center"/>
          </w:tcPr>
          <w:p w14:paraId="727171BA" w14:textId="77777777">
            <w:pPr>
              <w:spacing w:after="0" w:line="240" w:lineRule="auto"/>
              <w:rPr>
                <w:rFonts w:asciiTheme="minorHAnsi" w:hAnsiTheme="minorHAnsi"/>
                <w:sz w:val="20"/>
                <w:szCs w:val="20"/>
              </w:rPr>
            </w:pPr>
            <w:r>
              <w:rPr>
                <w:rFonts w:asciiTheme="minorHAnsi" w:eastAsia="Arial" w:hAnsiTheme="minorHAnsi" w:cs="Arial"/>
                <w:sz w:val="20"/>
                <w:szCs w:val="20"/>
              </w:rPr>
              <w:t>Functional system verification</w:t>
            </w:r>
          </w:p>
        </w:tc>
        <w:tc>
          <w:tcPr>
            <w:tcW w:w="2736" w:type="dxa"/>
            <w:shd w:val="clear" w:color="auto" w:fill="F3F6FB"/>
            <w:tcMar>
              <w:top w:w="80" w:type="dxa"/>
              <w:left w:w="90" w:type="dxa"/>
              <w:bottom w:w="80" w:type="dxa"/>
              <w:right w:w="90" w:type="dxa"/>
            </w:tcMar>
            <w:vAlign w:val="center"/>
          </w:tcPr>
          <w:p w14:paraId="0524E1FD" w14:textId="77777777">
            <w:pPr>
              <w:spacing w:after="0" w:line="240" w:lineRule="auto"/>
              <w:rPr>
                <w:rFonts w:asciiTheme="minorHAnsi" w:hAnsiTheme="minorHAnsi"/>
                <w:sz w:val="20"/>
                <w:szCs w:val="20"/>
              </w:rPr>
            </w:pPr>
            <w:r>
              <w:rPr>
                <w:rFonts w:asciiTheme="minorHAnsi" w:eastAsia="Arial" w:hAnsiTheme="minorHAnsi" w:cs="Arial"/>
                <w:sz w:val="20"/>
                <w:szCs w:val="20"/>
              </w:rPr>
              <w:t>Deployed CACGWA revision and CBT workflow</w:t>
            </w:r>
          </w:p>
        </w:tc>
        <w:tc>
          <w:tcPr>
            <w:tcW w:w="2448" w:type="dxa"/>
            <w:shd w:val="clear" w:color="auto" w:fill="F3F6FB"/>
            <w:tcMar>
              <w:top w:w="80" w:type="dxa"/>
              <w:left w:w="90" w:type="dxa"/>
              <w:bottom w:w="80" w:type="dxa"/>
              <w:right w:w="90" w:type="dxa"/>
            </w:tcMar>
            <w:vAlign w:val="center"/>
          </w:tcPr>
          <w:p w14:paraId="72FE4C4C" w14:textId="77777777">
            <w:pPr>
              <w:spacing w:after="0" w:line="240" w:lineRule="auto"/>
              <w:rPr>
                <w:rFonts w:asciiTheme="minorHAnsi" w:hAnsiTheme="minorHAnsi"/>
                <w:sz w:val="20"/>
                <w:szCs w:val="20"/>
              </w:rPr>
            </w:pPr>
            <w:r>
              <w:rPr>
                <w:rFonts w:asciiTheme="minorHAnsi" w:eastAsia="Arial" w:hAnsiTheme="minorHAnsi" w:cs="Arial"/>
                <w:sz w:val="20"/>
                <w:szCs w:val="20"/>
              </w:rPr>
              <w:t>Assess access, timing, paper delivery, scoring, and administration controls</w:t>
            </w:r>
          </w:p>
        </w:tc>
        <w:tc>
          <w:tcPr>
            <w:tcW w:w="3168" w:type="dxa"/>
            <w:shd w:val="clear" w:color="auto" w:fill="F3F6FB"/>
            <w:tcMar>
              <w:top w:w="80" w:type="dxa"/>
              <w:left w:w="90" w:type="dxa"/>
              <w:bottom w:w="80" w:type="dxa"/>
              <w:right w:w="90" w:type="dxa"/>
            </w:tcMar>
            <w:vAlign w:val="center"/>
          </w:tcPr>
          <w:p w14:paraId="20C1F1F4" w14:textId="77777777">
            <w:pPr>
              <w:spacing w:after="0" w:line="240" w:lineRule="auto"/>
              <w:rPr>
                <w:rFonts w:asciiTheme="minorHAnsi" w:hAnsiTheme="minorHAnsi"/>
                <w:sz w:val="20"/>
                <w:szCs w:val="20"/>
              </w:rPr>
            </w:pPr>
            <w:r>
              <w:rPr>
                <w:rFonts w:asciiTheme="minorHAnsi" w:eastAsia="Arial" w:hAnsiTheme="minorHAnsi" w:cs="Arial"/>
                <w:sz w:val="20"/>
                <w:szCs w:val="20"/>
              </w:rPr>
              <w:t>Functional testing and workflow inspection</w:t>
            </w:r>
          </w:p>
        </w:tc>
      </w:tr>
      <w:tr w14:paraId="447BACCC" w14:textId="77777777">
        <w:trPr>
          <w:jc w:val="center"/>
        </w:trPr>
        <w:tc>
          <w:tcPr>
            <w:tcW w:w="1872" w:type="dxa"/>
            <w:tcMar>
              <w:top w:w="80" w:type="dxa"/>
              <w:left w:w="90" w:type="dxa"/>
              <w:bottom w:w="80" w:type="dxa"/>
              <w:right w:w="90" w:type="dxa"/>
            </w:tcMar>
            <w:vAlign w:val="center"/>
          </w:tcPr>
          <w:p w14:paraId="03563129" w14:textId="77777777">
            <w:pPr>
              <w:spacing w:after="0" w:line="240" w:lineRule="auto"/>
              <w:rPr>
                <w:rFonts w:asciiTheme="minorHAnsi" w:hAnsiTheme="minorHAnsi"/>
                <w:sz w:val="20"/>
                <w:szCs w:val="20"/>
              </w:rPr>
            </w:pPr>
            <w:r>
              <w:rPr>
                <w:rFonts w:asciiTheme="minorHAnsi" w:eastAsia="Arial" w:hAnsiTheme="minorHAnsi" w:cs="Arial"/>
                <w:sz w:val="20"/>
                <w:szCs w:val="20"/>
              </w:rPr>
              <w:t>Exact probability model</w:t>
            </w:r>
          </w:p>
        </w:tc>
        <w:tc>
          <w:tcPr>
            <w:tcW w:w="2736" w:type="dxa"/>
            <w:tcMar>
              <w:top w:w="80" w:type="dxa"/>
              <w:left w:w="90" w:type="dxa"/>
              <w:bottom w:w="80" w:type="dxa"/>
              <w:right w:w="90" w:type="dxa"/>
            </w:tcMar>
            <w:vAlign w:val="center"/>
          </w:tcPr>
          <w:p w14:paraId="1CA898EF" w14:textId="77777777">
            <w:pPr>
              <w:spacing w:after="0" w:line="240" w:lineRule="auto"/>
              <w:rPr>
                <w:rFonts w:asciiTheme="minorHAnsi" w:hAnsiTheme="minorHAnsi"/>
                <w:sz w:val="20"/>
                <w:szCs w:val="20"/>
              </w:rPr>
            </w:pPr>
            <w:r>
              <w:rPr>
                <w:rFonts w:asciiTheme="minorHAnsi" w:eastAsia="Arial" w:hAnsiTheme="minorHAnsi" w:cs="Arial"/>
                <w:sz w:val="20"/>
                <w:szCs w:val="20"/>
              </w:rPr>
              <w:t>500-item bank; 70-item paper; 200 candidates</w:t>
            </w:r>
          </w:p>
        </w:tc>
        <w:tc>
          <w:tcPr>
            <w:tcW w:w="2448" w:type="dxa"/>
            <w:tcMar>
              <w:top w:w="80" w:type="dxa"/>
              <w:left w:w="90" w:type="dxa"/>
              <w:bottom w:w="80" w:type="dxa"/>
              <w:right w:w="90" w:type="dxa"/>
            </w:tcMar>
            <w:vAlign w:val="center"/>
          </w:tcPr>
          <w:p w14:paraId="0AFFD4A8" w14:textId="77777777">
            <w:pPr>
              <w:spacing w:after="0" w:line="240" w:lineRule="auto"/>
              <w:rPr>
                <w:rFonts w:asciiTheme="minorHAnsi" w:hAnsiTheme="minorHAnsi"/>
                <w:sz w:val="20"/>
                <w:szCs w:val="20"/>
              </w:rPr>
            </w:pPr>
            <w:r>
              <w:rPr>
                <w:rFonts w:asciiTheme="minorHAnsi" w:eastAsia="Arial" w:hAnsiTheme="minorHAnsi" w:cs="Arial"/>
                <w:sz w:val="20"/>
                <w:szCs w:val="20"/>
              </w:rPr>
              <w:t>Derive form count, expected overlap, and item exposure</w:t>
            </w:r>
          </w:p>
        </w:tc>
        <w:tc>
          <w:tcPr>
            <w:tcW w:w="3168" w:type="dxa"/>
            <w:tcMar>
              <w:top w:w="80" w:type="dxa"/>
              <w:left w:w="90" w:type="dxa"/>
              <w:bottom w:w="80" w:type="dxa"/>
              <w:right w:w="90" w:type="dxa"/>
            </w:tcMar>
            <w:vAlign w:val="center"/>
          </w:tcPr>
          <w:p w14:paraId="138DDD9E" w14:textId="77777777">
            <w:pPr>
              <w:spacing w:after="0" w:line="240" w:lineRule="auto"/>
              <w:rPr>
                <w:rFonts w:asciiTheme="minorHAnsi" w:hAnsiTheme="minorHAnsi"/>
                <w:sz w:val="20"/>
                <w:szCs w:val="20"/>
              </w:rPr>
            </w:pPr>
            <w:r>
              <w:rPr>
                <w:rFonts w:asciiTheme="minorHAnsi" w:eastAsia="Arial" w:hAnsiTheme="minorHAnsi" w:cs="Arial"/>
                <w:sz w:val="20"/>
                <w:szCs w:val="20"/>
              </w:rPr>
              <w:t>Combinatorial and hypergeometric analysis</w:t>
            </w:r>
          </w:p>
        </w:tc>
      </w:tr>
      <w:tr w14:paraId="726CEABA" w14:textId="77777777">
        <w:trPr>
          <w:jc w:val="center"/>
        </w:trPr>
        <w:tc>
          <w:tcPr>
            <w:tcW w:w="1872" w:type="dxa"/>
            <w:shd w:val="clear" w:color="auto" w:fill="F3F6FB"/>
            <w:tcMar>
              <w:top w:w="80" w:type="dxa"/>
              <w:left w:w="90" w:type="dxa"/>
              <w:bottom w:w="80" w:type="dxa"/>
              <w:right w:w="90" w:type="dxa"/>
            </w:tcMar>
            <w:vAlign w:val="center"/>
          </w:tcPr>
          <w:p w14:paraId="57A0E301" w14:textId="77777777">
            <w:pPr>
              <w:spacing w:after="0" w:line="240" w:lineRule="auto"/>
              <w:rPr>
                <w:rFonts w:asciiTheme="minorHAnsi" w:hAnsiTheme="minorHAnsi"/>
                <w:sz w:val="20"/>
                <w:szCs w:val="20"/>
              </w:rPr>
            </w:pPr>
            <w:r>
              <w:rPr>
                <w:rFonts w:asciiTheme="minorHAnsi" w:eastAsia="Arial" w:hAnsiTheme="minorHAnsi" w:cs="Arial"/>
                <w:sz w:val="20"/>
                <w:szCs w:val="20"/>
              </w:rPr>
              <w:t>Monte Carlo simulation</w:t>
            </w:r>
          </w:p>
        </w:tc>
        <w:tc>
          <w:tcPr>
            <w:tcW w:w="2736" w:type="dxa"/>
            <w:shd w:val="clear" w:color="auto" w:fill="F3F6FB"/>
            <w:tcMar>
              <w:top w:w="80" w:type="dxa"/>
              <w:left w:w="90" w:type="dxa"/>
              <w:bottom w:w="80" w:type="dxa"/>
              <w:right w:w="90" w:type="dxa"/>
            </w:tcMar>
            <w:vAlign w:val="center"/>
          </w:tcPr>
          <w:p w14:paraId="52316F7C" w14:textId="77777777">
            <w:pPr>
              <w:spacing w:after="0" w:line="240" w:lineRule="auto"/>
              <w:rPr>
                <w:rFonts w:asciiTheme="minorHAnsi" w:hAnsiTheme="minorHAnsi"/>
                <w:sz w:val="20"/>
                <w:szCs w:val="20"/>
              </w:rPr>
            </w:pPr>
            <w:r>
              <w:rPr>
                <w:rFonts w:asciiTheme="minorHAnsi" w:eastAsia="Arial" w:hAnsiTheme="minorHAnsi" w:cs="Arial"/>
                <w:sz w:val="20"/>
                <w:szCs w:val="20"/>
              </w:rPr>
              <w:t>1,000 replications × 200 virtual candidate papers</w:t>
            </w:r>
          </w:p>
        </w:tc>
        <w:tc>
          <w:tcPr>
            <w:tcW w:w="2448" w:type="dxa"/>
            <w:shd w:val="clear" w:color="auto" w:fill="F3F6FB"/>
            <w:tcMar>
              <w:top w:w="80" w:type="dxa"/>
              <w:left w:w="90" w:type="dxa"/>
              <w:bottom w:w="80" w:type="dxa"/>
              <w:right w:w="90" w:type="dxa"/>
            </w:tcMar>
            <w:vAlign w:val="center"/>
          </w:tcPr>
          <w:p w14:paraId="4D8EC4E2" w14:textId="77777777">
            <w:pPr>
              <w:spacing w:after="0" w:line="240" w:lineRule="auto"/>
              <w:rPr>
                <w:rFonts w:asciiTheme="minorHAnsi" w:hAnsiTheme="minorHAnsi"/>
                <w:sz w:val="20"/>
                <w:szCs w:val="20"/>
              </w:rPr>
            </w:pPr>
            <w:r>
              <w:rPr>
                <w:rFonts w:asciiTheme="minorHAnsi" w:eastAsia="Arial" w:hAnsiTheme="minorHAnsi" w:cs="Arial"/>
                <w:sz w:val="20"/>
                <w:szCs w:val="20"/>
              </w:rPr>
              <w:t>Characterize overlap tails and exposure concentration</w:t>
            </w:r>
          </w:p>
        </w:tc>
        <w:tc>
          <w:tcPr>
            <w:tcW w:w="3168" w:type="dxa"/>
            <w:shd w:val="clear" w:color="auto" w:fill="F3F6FB"/>
            <w:tcMar>
              <w:top w:w="80" w:type="dxa"/>
              <w:left w:w="90" w:type="dxa"/>
              <w:bottom w:w="80" w:type="dxa"/>
              <w:right w:w="90" w:type="dxa"/>
            </w:tcMar>
            <w:vAlign w:val="center"/>
          </w:tcPr>
          <w:p w14:paraId="7923EDF6" w14:textId="77777777">
            <w:pPr>
              <w:spacing w:after="0" w:line="240" w:lineRule="auto"/>
              <w:rPr>
                <w:rFonts w:asciiTheme="minorHAnsi" w:hAnsiTheme="minorHAnsi"/>
                <w:sz w:val="20"/>
                <w:szCs w:val="20"/>
              </w:rPr>
            </w:pPr>
            <w:r>
              <w:rPr>
                <w:rFonts w:asciiTheme="minorHAnsi" w:eastAsia="Arial" w:hAnsiTheme="minorHAnsi" w:cs="Arial"/>
                <w:sz w:val="20"/>
                <w:szCs w:val="20"/>
              </w:rPr>
              <w:t>Reproducible simulation; seed 202606</w:t>
            </w:r>
          </w:p>
        </w:tc>
      </w:tr>
      <w:tr w14:paraId="555B4E86" w14:textId="77777777">
        <w:trPr>
          <w:jc w:val="center"/>
        </w:trPr>
        <w:tc>
          <w:tcPr>
            <w:tcW w:w="1872" w:type="dxa"/>
            <w:tcMar>
              <w:top w:w="80" w:type="dxa"/>
              <w:left w:w="90" w:type="dxa"/>
              <w:bottom w:w="80" w:type="dxa"/>
              <w:right w:w="90" w:type="dxa"/>
            </w:tcMar>
            <w:vAlign w:val="center"/>
          </w:tcPr>
          <w:p w14:paraId="5775E538" w14:textId="77777777">
            <w:pPr>
              <w:spacing w:after="0" w:line="240" w:lineRule="auto"/>
              <w:rPr>
                <w:rFonts w:asciiTheme="minorHAnsi" w:hAnsiTheme="minorHAnsi"/>
                <w:sz w:val="20"/>
                <w:szCs w:val="20"/>
              </w:rPr>
            </w:pPr>
            <w:r>
              <w:rPr>
                <w:rFonts w:asciiTheme="minorHAnsi" w:eastAsia="Arial" w:hAnsiTheme="minorHAnsi" w:cs="Arial"/>
                <w:sz w:val="20"/>
                <w:szCs w:val="20"/>
              </w:rPr>
              <w:t>Sensitivity analysis</w:t>
            </w:r>
          </w:p>
        </w:tc>
        <w:tc>
          <w:tcPr>
            <w:tcW w:w="2736" w:type="dxa"/>
            <w:tcMar>
              <w:top w:w="80" w:type="dxa"/>
              <w:left w:w="90" w:type="dxa"/>
              <w:bottom w:w="80" w:type="dxa"/>
              <w:right w:w="90" w:type="dxa"/>
            </w:tcMar>
            <w:vAlign w:val="center"/>
          </w:tcPr>
          <w:p w14:paraId="60E774BA" w14:textId="77777777">
            <w:pPr>
              <w:spacing w:after="0" w:line="240" w:lineRule="auto"/>
              <w:rPr>
                <w:rFonts w:asciiTheme="minorHAnsi" w:hAnsiTheme="minorHAnsi"/>
                <w:sz w:val="20"/>
                <w:szCs w:val="20"/>
              </w:rPr>
            </w:pPr>
            <w:r>
              <w:rPr>
                <w:rFonts w:asciiTheme="minorHAnsi" w:eastAsia="Arial" w:hAnsiTheme="minorHAnsi" w:cs="Arial"/>
                <w:sz w:val="20"/>
                <w:szCs w:val="20"/>
              </w:rPr>
              <w:t>Bank sizes 300, 400, 500, 750, and 1,000</w:t>
            </w:r>
          </w:p>
        </w:tc>
        <w:tc>
          <w:tcPr>
            <w:tcW w:w="2448" w:type="dxa"/>
            <w:tcMar>
              <w:top w:w="80" w:type="dxa"/>
              <w:left w:w="90" w:type="dxa"/>
              <w:bottom w:w="80" w:type="dxa"/>
              <w:right w:w="90" w:type="dxa"/>
            </w:tcMar>
            <w:vAlign w:val="center"/>
          </w:tcPr>
          <w:p w14:paraId="2A75E62D" w14:textId="77777777">
            <w:pPr>
              <w:spacing w:after="0" w:line="240" w:lineRule="auto"/>
              <w:rPr>
                <w:rFonts w:asciiTheme="minorHAnsi" w:hAnsiTheme="minorHAnsi"/>
                <w:sz w:val="20"/>
                <w:szCs w:val="20"/>
              </w:rPr>
            </w:pPr>
            <w:r>
              <w:rPr>
                <w:rFonts w:asciiTheme="minorHAnsi" w:eastAsia="Arial" w:hAnsiTheme="minorHAnsi" w:cs="Arial"/>
                <w:sz w:val="20"/>
                <w:szCs w:val="20"/>
              </w:rPr>
              <w:t>Assess robustness of test-form diversity to bank size</w:t>
            </w:r>
          </w:p>
        </w:tc>
        <w:tc>
          <w:tcPr>
            <w:tcW w:w="3168" w:type="dxa"/>
            <w:tcMar>
              <w:top w:w="80" w:type="dxa"/>
              <w:left w:w="90" w:type="dxa"/>
              <w:bottom w:w="80" w:type="dxa"/>
              <w:right w:w="90" w:type="dxa"/>
            </w:tcMar>
            <w:vAlign w:val="center"/>
          </w:tcPr>
          <w:p w14:paraId="080C27B0" w14:textId="77777777">
            <w:pPr>
              <w:spacing w:after="0" w:line="240" w:lineRule="auto"/>
              <w:rPr>
                <w:rFonts w:asciiTheme="minorHAnsi" w:hAnsiTheme="minorHAnsi"/>
                <w:sz w:val="20"/>
                <w:szCs w:val="20"/>
              </w:rPr>
            </w:pPr>
            <w:r>
              <w:rPr>
                <w:rFonts w:asciiTheme="minorHAnsi" w:eastAsia="Arial" w:hAnsiTheme="minorHAnsi" w:cs="Arial"/>
                <w:sz w:val="20"/>
                <w:szCs w:val="20"/>
              </w:rPr>
              <w:t>Comparative analytical modelling</w:t>
            </w:r>
          </w:p>
        </w:tc>
      </w:tr>
    </w:tbl>
    <w:p w14:paraId="2AE03E60" w14:textId="77777777">
      <w:pPr>
        <w:pStyle w:val="Caption"/>
        <w:spacing w:after="0"/>
        <w:rPr>
          <w:rFonts w:asciiTheme="minorHAnsi" w:hAnsiTheme="minorHAnsi"/>
          <w:sz w:val="20"/>
          <w:szCs w:val="20"/>
        </w:rPr>
      </w:pPr>
      <w:r>
        <w:rPr>
          <w:rFonts w:asciiTheme="minorHAnsi" w:eastAsia="Arial" w:hAnsiTheme="minorHAnsi" w:cs="Arial"/>
          <w:i w:val="0"/>
          <w:sz w:val="20"/>
          <w:szCs w:val="20"/>
        </w:rPr>
        <w:t>Table 1. Study design and analytical framework.</w:t>
      </w:r>
    </w:p>
    <w:p w14:paraId="77C5BE97" w14:textId="77777777">
      <w:pPr>
        <w:pStyle w:val="Heading1"/>
        <w:spacing w:after="0"/>
        <w:jc w:val="both"/>
        <w:rPr>
          <w:rFonts w:asciiTheme="minorHAnsi" w:hAnsiTheme="minorHAnsi"/>
          <w:sz w:val="20"/>
          <w:szCs w:val="20"/>
        </w:rPr>
      </w:pPr>
      <w:r>
        <w:rPr>
          <w:rFonts w:asciiTheme="minorHAnsi" w:hAnsiTheme="minorHAnsi"/>
          <w:b w:val="0"/>
          <w:sz w:val="20"/>
          <w:szCs w:val="20"/>
        </w:rPr>
        <w:t>3.2 System implementation and functional verification</w:t>
      </w:r>
    </w:p>
    <w:p w14:paraId="782D9F43" w14:textId="77777777">
      <w:pPr>
        <w:spacing w:after="0"/>
        <w:jc w:val="both"/>
        <w:rPr>
          <w:rFonts w:asciiTheme="minorHAnsi" w:hAnsiTheme="minorHAnsi"/>
          <w:sz w:val="20"/>
          <w:szCs w:val="20"/>
        </w:rPr>
      </w:pPr>
      <w:r>
        <w:rPr>
          <w:rFonts w:asciiTheme="minorHAnsi" w:eastAsia="Arial" w:hAnsiTheme="minorHAnsi" w:cs="Arial"/>
          <w:sz w:val="20"/>
          <w:szCs w:val="20"/>
        </w:rPr>
        <w:t>Functional verification covered the deployed Student Revision and CBT environment, class- and subject-based revision content, Practice CBT, Real Examination, and the Exam Officer pathway. The live examination was configured for 120 minutes and incorporated PWA-enabled revision access, locally retained student profile/class information, a student access PIN plus a fresh examination PIN, examination-window control, candidate-status monitoring, submitted results, and incident/malpractice records. Digital Technologies and Solar PV Installation were among the implemented revision and live-examination subjects. These functions defined the operational architecture evaluated in the study.</w:t>
      </w:r>
    </w:p>
    <w:p w14:paraId="0943C9A6" w14:textId="77777777">
      <w:pPr>
        <w:pStyle w:val="Heading1"/>
        <w:spacing w:after="0"/>
        <w:jc w:val="both"/>
        <w:rPr>
          <w:rFonts w:asciiTheme="minorHAnsi" w:hAnsiTheme="minorHAnsi"/>
          <w:sz w:val="20"/>
          <w:szCs w:val="20"/>
        </w:rPr>
      </w:pPr>
      <w:r>
        <w:rPr>
          <w:rFonts w:asciiTheme="minorHAnsi" w:hAnsiTheme="minorHAnsi"/>
          <w:sz w:val="20"/>
          <w:szCs w:val="20"/>
        </w:rPr>
        <w:t>3.3 Question-bank and paper-assembly model</w:t>
      </w:r>
    </w:p>
    <w:p w14:paraId="089BA5F9" w14:textId="77777777">
      <w:pPr>
        <w:spacing w:after="0"/>
        <w:jc w:val="both"/>
        <w:rPr>
          <w:rFonts w:asciiTheme="minorHAnsi" w:hAnsiTheme="minorHAnsi"/>
          <w:sz w:val="20"/>
          <w:szCs w:val="20"/>
        </w:rPr>
      </w:pPr>
      <w:r>
        <w:rPr>
          <w:rFonts w:asciiTheme="minorHAnsi" w:eastAsia="Arial" w:hAnsiTheme="minorHAnsi" w:cs="Arial"/>
          <w:sz w:val="20"/>
          <w:szCs w:val="20"/>
        </w:rPr>
        <w:t>For each configured subject, the implemented examination specification comprised a bank of 500 typed objective questions. A candidate paper contained 70 distinct questions sampled without replacement. Let N = 500 denote bank size and n = 70 denote paper length. If all items are eligible and order is ignored, the number of possible forms is C(</w:t>
      </w:r>
      <w:proofErr w:type="gramStart"/>
      <w:r>
        <w:rPr>
          <w:rFonts w:asciiTheme="minorHAnsi" w:eastAsia="Arial" w:hAnsiTheme="minorHAnsi" w:cs="Arial"/>
          <w:sz w:val="20"/>
          <w:szCs w:val="20"/>
        </w:rPr>
        <w:t>N,n</w:t>
      </w:r>
      <w:proofErr w:type="gramEnd"/>
      <w:r>
        <w:rPr>
          <w:rFonts w:asciiTheme="minorHAnsi" w:eastAsia="Arial" w:hAnsiTheme="minorHAnsi" w:cs="Arial"/>
          <w:sz w:val="20"/>
          <w:szCs w:val="20"/>
        </w:rPr>
        <w:t xml:space="preserve">). For a fixed item, the probability of appearance on a candidate paper is n/N = 0.14. For two independently assembled papers, their shared-item count X follows a hypergeometric distribution, X ~ </w:t>
      </w:r>
      <w:r>
        <w:rPr>
          <w:rFonts w:asciiTheme="minorHAnsi" w:eastAsia="Arial" w:hAnsiTheme="minorHAnsi" w:cs="Arial"/>
          <w:sz w:val="20"/>
          <w:szCs w:val="20"/>
        </w:rPr>
        <w:t>Hypergeometric (</w:t>
      </w:r>
      <w:r>
        <w:rPr>
          <w:rFonts w:asciiTheme="minorHAnsi" w:eastAsia="Arial" w:hAnsiTheme="minorHAnsi" w:cs="Arial"/>
          <w:sz w:val="20"/>
          <w:szCs w:val="20"/>
        </w:rPr>
        <w:t xml:space="preserve">N = 500, K = 70, n = 70), giving E[X] = </w:t>
      </w:r>
      <w:proofErr w:type="spellStart"/>
      <w:r>
        <w:rPr>
          <w:rFonts w:asciiTheme="minorHAnsi" w:eastAsia="Arial" w:hAnsiTheme="minorHAnsi" w:cs="Arial"/>
          <w:sz w:val="20"/>
          <w:szCs w:val="20"/>
        </w:rPr>
        <w:t>nK</w:t>
      </w:r>
      <w:proofErr w:type="spellEnd"/>
      <w:r>
        <w:rPr>
          <w:rFonts w:asciiTheme="minorHAnsi" w:eastAsia="Arial" w:hAnsiTheme="minorHAnsi" w:cs="Arial"/>
          <w:sz w:val="20"/>
          <w:szCs w:val="20"/>
        </w:rPr>
        <w:t>/N = 9.8.</w:t>
      </w:r>
    </w:p>
    <w:p w14:paraId="563AEB91" w14:textId="77777777">
      <w:pPr>
        <w:spacing w:after="0"/>
        <w:jc w:val="both"/>
        <w:rPr>
          <w:rFonts w:asciiTheme="minorHAnsi" w:hAnsiTheme="minorHAnsi"/>
          <w:sz w:val="20"/>
          <w:szCs w:val="20"/>
        </w:rPr>
      </w:pPr>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2426"/>
        <w:gridCol w:w="2144"/>
        <w:gridCol w:w="5541"/>
      </w:tblGrid>
      <w:tr w14:paraId="19A0505B" w14:textId="77777777">
        <w:trPr>
          <w:tblHeader/>
          <w:jc w:val="center"/>
        </w:trPr>
        <w:tc>
          <w:tcPr>
            <w:tcW w:w="2426" w:type="dxa"/>
            <w:shd w:val="clear" w:color="auto" w:fill="071A45"/>
            <w:tcMar>
              <w:top w:w="80" w:type="dxa"/>
              <w:left w:w="90" w:type="dxa"/>
              <w:bottom w:w="80" w:type="dxa"/>
              <w:right w:w="90" w:type="dxa"/>
            </w:tcMar>
            <w:vAlign w:val="center"/>
          </w:tcPr>
          <w:p w14:paraId="0D6892ED"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Parameter</w:t>
            </w:r>
          </w:p>
        </w:tc>
        <w:tc>
          <w:tcPr>
            <w:tcW w:w="2144" w:type="dxa"/>
            <w:shd w:val="clear" w:color="auto" w:fill="071A45"/>
            <w:tcMar>
              <w:top w:w="80" w:type="dxa"/>
              <w:left w:w="90" w:type="dxa"/>
              <w:bottom w:w="80" w:type="dxa"/>
              <w:right w:w="90" w:type="dxa"/>
            </w:tcMar>
            <w:vAlign w:val="center"/>
          </w:tcPr>
          <w:p w14:paraId="7FD945B1"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Value</w:t>
            </w:r>
          </w:p>
        </w:tc>
        <w:tc>
          <w:tcPr>
            <w:tcW w:w="5541" w:type="dxa"/>
            <w:shd w:val="clear" w:color="auto" w:fill="071A45"/>
            <w:tcMar>
              <w:top w:w="80" w:type="dxa"/>
              <w:left w:w="90" w:type="dxa"/>
              <w:bottom w:w="80" w:type="dxa"/>
              <w:right w:w="90" w:type="dxa"/>
            </w:tcMar>
            <w:vAlign w:val="center"/>
          </w:tcPr>
          <w:p w14:paraId="4D538EF6"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Rationale / operational role</w:t>
            </w:r>
          </w:p>
        </w:tc>
      </w:tr>
      <w:tr w14:paraId="5AC6FF77" w14:textId="77777777">
        <w:trPr>
          <w:jc w:val="center"/>
        </w:trPr>
        <w:tc>
          <w:tcPr>
            <w:tcW w:w="2426" w:type="dxa"/>
            <w:tcMar>
              <w:top w:w="80" w:type="dxa"/>
              <w:left w:w="90" w:type="dxa"/>
              <w:bottom w:w="80" w:type="dxa"/>
              <w:right w:w="90" w:type="dxa"/>
            </w:tcMar>
          </w:tcPr>
          <w:p w14:paraId="3637767F" w14:textId="77777777">
            <w:pPr>
              <w:spacing w:after="0" w:line="240" w:lineRule="auto"/>
              <w:rPr>
                <w:rFonts w:asciiTheme="minorHAnsi" w:hAnsiTheme="minorHAnsi"/>
                <w:sz w:val="20"/>
                <w:szCs w:val="20"/>
              </w:rPr>
            </w:pPr>
            <w:r>
              <w:rPr>
                <w:rFonts w:asciiTheme="minorHAnsi" w:eastAsia="Arial" w:hAnsiTheme="minorHAnsi" w:cs="Arial"/>
                <w:sz w:val="20"/>
                <w:szCs w:val="20"/>
              </w:rPr>
              <w:t>Subject item bank</w:t>
            </w:r>
          </w:p>
        </w:tc>
        <w:tc>
          <w:tcPr>
            <w:tcW w:w="2144" w:type="dxa"/>
            <w:tcMar>
              <w:top w:w="80" w:type="dxa"/>
              <w:left w:w="90" w:type="dxa"/>
              <w:bottom w:w="80" w:type="dxa"/>
              <w:right w:w="90" w:type="dxa"/>
            </w:tcMar>
          </w:tcPr>
          <w:p w14:paraId="08C9ABE6" w14:textId="77777777">
            <w:pPr>
              <w:spacing w:after="0" w:line="240" w:lineRule="auto"/>
              <w:rPr>
                <w:rFonts w:asciiTheme="minorHAnsi" w:hAnsiTheme="minorHAnsi"/>
                <w:sz w:val="20"/>
                <w:szCs w:val="20"/>
              </w:rPr>
            </w:pPr>
            <w:r>
              <w:rPr>
                <w:rFonts w:asciiTheme="minorHAnsi" w:eastAsia="Arial" w:hAnsiTheme="minorHAnsi" w:cs="Arial"/>
                <w:sz w:val="20"/>
                <w:szCs w:val="20"/>
              </w:rPr>
              <w:t>500 items</w:t>
            </w:r>
          </w:p>
        </w:tc>
        <w:tc>
          <w:tcPr>
            <w:tcW w:w="5541" w:type="dxa"/>
            <w:tcMar>
              <w:top w:w="80" w:type="dxa"/>
              <w:left w:w="90" w:type="dxa"/>
              <w:bottom w:w="80" w:type="dxa"/>
              <w:right w:w="90" w:type="dxa"/>
            </w:tcMar>
            <w:vAlign w:val="center"/>
          </w:tcPr>
          <w:p w14:paraId="3BD44E27" w14:textId="77777777">
            <w:pPr>
              <w:spacing w:after="0" w:line="240" w:lineRule="auto"/>
              <w:rPr>
                <w:rFonts w:asciiTheme="minorHAnsi" w:hAnsiTheme="minorHAnsi"/>
                <w:sz w:val="20"/>
                <w:szCs w:val="20"/>
              </w:rPr>
            </w:pPr>
            <w:r>
              <w:rPr>
                <w:rFonts w:asciiTheme="minorHAnsi" w:eastAsia="Arial" w:hAnsiTheme="minorHAnsi" w:cs="Arial"/>
                <w:sz w:val="20"/>
                <w:szCs w:val="20"/>
              </w:rPr>
              <w:t>Large item pool for form diversity and exposure control</w:t>
            </w:r>
          </w:p>
        </w:tc>
      </w:tr>
      <w:tr w14:paraId="0EAABE6B" w14:textId="77777777">
        <w:trPr>
          <w:jc w:val="center"/>
        </w:trPr>
        <w:tc>
          <w:tcPr>
            <w:tcW w:w="2426" w:type="dxa"/>
            <w:shd w:val="clear" w:color="auto" w:fill="F3F6FB"/>
            <w:tcMar>
              <w:top w:w="80" w:type="dxa"/>
              <w:left w:w="90" w:type="dxa"/>
              <w:bottom w:w="80" w:type="dxa"/>
              <w:right w:w="90" w:type="dxa"/>
            </w:tcMar>
          </w:tcPr>
          <w:p w14:paraId="1F435525" w14:textId="77777777">
            <w:pPr>
              <w:spacing w:after="0" w:line="240" w:lineRule="auto"/>
              <w:rPr>
                <w:rFonts w:asciiTheme="minorHAnsi" w:hAnsiTheme="minorHAnsi"/>
                <w:sz w:val="20"/>
                <w:szCs w:val="20"/>
              </w:rPr>
            </w:pPr>
            <w:r>
              <w:rPr>
                <w:rFonts w:asciiTheme="minorHAnsi" w:eastAsia="Arial" w:hAnsiTheme="minorHAnsi" w:cs="Arial"/>
                <w:sz w:val="20"/>
                <w:szCs w:val="20"/>
              </w:rPr>
              <w:t>Candidate paper length</w:t>
            </w:r>
          </w:p>
        </w:tc>
        <w:tc>
          <w:tcPr>
            <w:tcW w:w="2144" w:type="dxa"/>
            <w:shd w:val="clear" w:color="auto" w:fill="F3F6FB"/>
            <w:tcMar>
              <w:top w:w="80" w:type="dxa"/>
              <w:left w:w="90" w:type="dxa"/>
              <w:bottom w:w="80" w:type="dxa"/>
              <w:right w:w="90" w:type="dxa"/>
            </w:tcMar>
          </w:tcPr>
          <w:p w14:paraId="752628E8" w14:textId="77777777">
            <w:pPr>
              <w:spacing w:after="0" w:line="240" w:lineRule="auto"/>
              <w:rPr>
                <w:rFonts w:asciiTheme="minorHAnsi" w:hAnsiTheme="minorHAnsi"/>
                <w:sz w:val="20"/>
                <w:szCs w:val="20"/>
              </w:rPr>
            </w:pPr>
            <w:r>
              <w:rPr>
                <w:rFonts w:asciiTheme="minorHAnsi" w:eastAsia="Arial" w:hAnsiTheme="minorHAnsi" w:cs="Arial"/>
                <w:sz w:val="20"/>
                <w:szCs w:val="20"/>
              </w:rPr>
              <w:t>70 unique items</w:t>
            </w:r>
          </w:p>
        </w:tc>
        <w:tc>
          <w:tcPr>
            <w:tcW w:w="5541" w:type="dxa"/>
            <w:shd w:val="clear" w:color="auto" w:fill="F3F6FB"/>
            <w:tcMar>
              <w:top w:w="80" w:type="dxa"/>
              <w:left w:w="90" w:type="dxa"/>
              <w:bottom w:w="80" w:type="dxa"/>
              <w:right w:w="90" w:type="dxa"/>
            </w:tcMar>
            <w:vAlign w:val="center"/>
          </w:tcPr>
          <w:p w14:paraId="53FC3C86" w14:textId="77777777">
            <w:pPr>
              <w:spacing w:after="0" w:line="240" w:lineRule="auto"/>
              <w:rPr>
                <w:rFonts w:asciiTheme="minorHAnsi" w:hAnsiTheme="minorHAnsi"/>
                <w:sz w:val="20"/>
                <w:szCs w:val="20"/>
              </w:rPr>
            </w:pPr>
            <w:r>
              <w:rPr>
                <w:rFonts w:asciiTheme="minorHAnsi" w:eastAsia="Arial" w:hAnsiTheme="minorHAnsi" w:cs="Arial"/>
                <w:sz w:val="20"/>
                <w:szCs w:val="20"/>
              </w:rPr>
              <w:t>Configured 2025/2026 examination paper length</w:t>
            </w:r>
          </w:p>
        </w:tc>
      </w:tr>
      <w:tr w14:paraId="2E8DD778" w14:textId="77777777">
        <w:trPr>
          <w:jc w:val="center"/>
        </w:trPr>
        <w:tc>
          <w:tcPr>
            <w:tcW w:w="2426" w:type="dxa"/>
            <w:tcMar>
              <w:top w:w="80" w:type="dxa"/>
              <w:left w:w="90" w:type="dxa"/>
              <w:bottom w:w="80" w:type="dxa"/>
              <w:right w:w="90" w:type="dxa"/>
            </w:tcMar>
          </w:tcPr>
          <w:p w14:paraId="4757CB43" w14:textId="77777777">
            <w:pPr>
              <w:spacing w:after="0" w:line="240" w:lineRule="auto"/>
              <w:rPr>
                <w:rFonts w:asciiTheme="minorHAnsi" w:hAnsiTheme="minorHAnsi"/>
                <w:sz w:val="20"/>
                <w:szCs w:val="20"/>
              </w:rPr>
            </w:pPr>
            <w:r>
              <w:rPr>
                <w:rFonts w:asciiTheme="minorHAnsi" w:eastAsia="Arial" w:hAnsiTheme="minorHAnsi" w:cs="Arial"/>
                <w:sz w:val="20"/>
                <w:szCs w:val="20"/>
              </w:rPr>
              <w:t>Sampling</w:t>
            </w:r>
          </w:p>
        </w:tc>
        <w:tc>
          <w:tcPr>
            <w:tcW w:w="2144" w:type="dxa"/>
            <w:tcMar>
              <w:top w:w="80" w:type="dxa"/>
              <w:left w:w="90" w:type="dxa"/>
              <w:bottom w:w="80" w:type="dxa"/>
              <w:right w:w="90" w:type="dxa"/>
            </w:tcMar>
          </w:tcPr>
          <w:p w14:paraId="0E1DB29E" w14:textId="77777777">
            <w:pPr>
              <w:spacing w:after="0" w:line="240" w:lineRule="auto"/>
              <w:rPr>
                <w:rFonts w:asciiTheme="minorHAnsi" w:hAnsiTheme="minorHAnsi"/>
                <w:sz w:val="20"/>
                <w:szCs w:val="20"/>
              </w:rPr>
            </w:pPr>
            <w:r>
              <w:rPr>
                <w:rFonts w:asciiTheme="minorHAnsi" w:eastAsia="Arial" w:hAnsiTheme="minorHAnsi" w:cs="Arial"/>
                <w:sz w:val="20"/>
                <w:szCs w:val="20"/>
              </w:rPr>
              <w:t>Random without replacement</w:t>
            </w:r>
          </w:p>
        </w:tc>
        <w:tc>
          <w:tcPr>
            <w:tcW w:w="5541" w:type="dxa"/>
            <w:tcMar>
              <w:top w:w="80" w:type="dxa"/>
              <w:left w:w="90" w:type="dxa"/>
              <w:bottom w:w="80" w:type="dxa"/>
              <w:right w:w="90" w:type="dxa"/>
            </w:tcMar>
          </w:tcPr>
          <w:p w14:paraId="245A12BE" w14:textId="77777777">
            <w:pPr>
              <w:spacing w:after="0" w:line="240" w:lineRule="auto"/>
              <w:rPr>
                <w:rFonts w:asciiTheme="minorHAnsi" w:hAnsiTheme="minorHAnsi"/>
                <w:sz w:val="20"/>
                <w:szCs w:val="20"/>
              </w:rPr>
            </w:pPr>
            <w:r>
              <w:rPr>
                <w:rFonts w:asciiTheme="minorHAnsi" w:eastAsia="Arial" w:hAnsiTheme="minorHAnsi" w:cs="Arial"/>
                <w:sz w:val="20"/>
                <w:szCs w:val="20"/>
              </w:rPr>
              <w:t>Prevents within-paper duplicate items</w:t>
            </w:r>
          </w:p>
        </w:tc>
      </w:tr>
      <w:tr w14:paraId="1AE5F78F" w14:textId="77777777">
        <w:trPr>
          <w:jc w:val="center"/>
        </w:trPr>
        <w:tc>
          <w:tcPr>
            <w:tcW w:w="2426" w:type="dxa"/>
            <w:shd w:val="clear" w:color="auto" w:fill="F3F6FB"/>
            <w:tcMar>
              <w:top w:w="80" w:type="dxa"/>
              <w:left w:w="90" w:type="dxa"/>
              <w:bottom w:w="80" w:type="dxa"/>
              <w:right w:w="90" w:type="dxa"/>
            </w:tcMar>
          </w:tcPr>
          <w:p w14:paraId="128FE546" w14:textId="77777777">
            <w:pPr>
              <w:spacing w:after="0" w:line="240" w:lineRule="auto"/>
              <w:rPr>
                <w:rFonts w:asciiTheme="minorHAnsi" w:hAnsiTheme="minorHAnsi"/>
                <w:sz w:val="20"/>
                <w:szCs w:val="20"/>
              </w:rPr>
            </w:pPr>
            <w:r>
              <w:rPr>
                <w:rFonts w:asciiTheme="minorHAnsi" w:eastAsia="Arial" w:hAnsiTheme="minorHAnsi" w:cs="Arial"/>
                <w:sz w:val="20"/>
                <w:szCs w:val="20"/>
              </w:rPr>
              <w:lastRenderedPageBreak/>
              <w:t>Main examination time</w:t>
            </w:r>
          </w:p>
        </w:tc>
        <w:tc>
          <w:tcPr>
            <w:tcW w:w="2144" w:type="dxa"/>
            <w:shd w:val="clear" w:color="auto" w:fill="F3F6FB"/>
            <w:tcMar>
              <w:top w:w="80" w:type="dxa"/>
              <w:left w:w="90" w:type="dxa"/>
              <w:bottom w:w="80" w:type="dxa"/>
              <w:right w:w="90" w:type="dxa"/>
            </w:tcMar>
          </w:tcPr>
          <w:p w14:paraId="355B5744" w14:textId="77777777">
            <w:pPr>
              <w:spacing w:after="0" w:line="240" w:lineRule="auto"/>
              <w:rPr>
                <w:rFonts w:asciiTheme="minorHAnsi" w:hAnsiTheme="minorHAnsi"/>
                <w:sz w:val="20"/>
                <w:szCs w:val="20"/>
              </w:rPr>
            </w:pPr>
            <w:r>
              <w:rPr>
                <w:rFonts w:asciiTheme="minorHAnsi" w:eastAsia="Arial" w:hAnsiTheme="minorHAnsi" w:cs="Arial"/>
                <w:sz w:val="20"/>
                <w:szCs w:val="20"/>
              </w:rPr>
              <w:t>120 minutes</w:t>
            </w:r>
          </w:p>
        </w:tc>
        <w:tc>
          <w:tcPr>
            <w:tcW w:w="5541" w:type="dxa"/>
            <w:shd w:val="clear" w:color="auto" w:fill="F3F6FB"/>
            <w:tcMar>
              <w:top w:w="80" w:type="dxa"/>
              <w:left w:w="90" w:type="dxa"/>
              <w:bottom w:w="80" w:type="dxa"/>
              <w:right w:w="90" w:type="dxa"/>
            </w:tcMar>
            <w:vAlign w:val="center"/>
          </w:tcPr>
          <w:p w14:paraId="0C2FA552" w14:textId="77777777">
            <w:pPr>
              <w:spacing w:after="0" w:line="240" w:lineRule="auto"/>
              <w:rPr>
                <w:rFonts w:asciiTheme="minorHAnsi" w:hAnsiTheme="minorHAnsi"/>
                <w:sz w:val="20"/>
                <w:szCs w:val="20"/>
              </w:rPr>
            </w:pPr>
            <w:r>
              <w:rPr>
                <w:rFonts w:asciiTheme="minorHAnsi" w:eastAsia="Arial" w:hAnsiTheme="minorHAnsi" w:cs="Arial"/>
                <w:sz w:val="20"/>
                <w:szCs w:val="20"/>
              </w:rPr>
              <w:t>Configured live-examination duration</w:t>
            </w:r>
          </w:p>
        </w:tc>
      </w:tr>
      <w:tr w14:paraId="195181F9" w14:textId="77777777">
        <w:trPr>
          <w:jc w:val="center"/>
        </w:trPr>
        <w:tc>
          <w:tcPr>
            <w:tcW w:w="2426" w:type="dxa"/>
            <w:tcMar>
              <w:top w:w="80" w:type="dxa"/>
              <w:left w:w="90" w:type="dxa"/>
              <w:bottom w:w="80" w:type="dxa"/>
              <w:right w:w="90" w:type="dxa"/>
            </w:tcMar>
          </w:tcPr>
          <w:p w14:paraId="0356E858" w14:textId="77777777">
            <w:pPr>
              <w:spacing w:after="0" w:line="240" w:lineRule="auto"/>
              <w:rPr>
                <w:rFonts w:asciiTheme="minorHAnsi" w:hAnsiTheme="minorHAnsi"/>
                <w:sz w:val="20"/>
                <w:szCs w:val="20"/>
              </w:rPr>
            </w:pPr>
            <w:r>
              <w:rPr>
                <w:rFonts w:asciiTheme="minorHAnsi" w:eastAsia="Arial" w:hAnsiTheme="minorHAnsi" w:cs="Arial"/>
                <w:sz w:val="20"/>
                <w:szCs w:val="20"/>
              </w:rPr>
              <w:t>Field cohort used for simulation</w:t>
            </w:r>
          </w:p>
        </w:tc>
        <w:tc>
          <w:tcPr>
            <w:tcW w:w="2144" w:type="dxa"/>
            <w:tcMar>
              <w:top w:w="80" w:type="dxa"/>
              <w:left w:w="90" w:type="dxa"/>
              <w:bottom w:w="80" w:type="dxa"/>
              <w:right w:w="90" w:type="dxa"/>
            </w:tcMar>
          </w:tcPr>
          <w:p w14:paraId="381C1EB5" w14:textId="77777777">
            <w:pPr>
              <w:spacing w:after="0" w:line="240" w:lineRule="auto"/>
              <w:rPr>
                <w:rFonts w:asciiTheme="minorHAnsi" w:hAnsiTheme="minorHAnsi"/>
                <w:sz w:val="20"/>
                <w:szCs w:val="20"/>
              </w:rPr>
            </w:pPr>
            <w:r>
              <w:rPr>
                <w:rFonts w:asciiTheme="minorHAnsi" w:eastAsia="Arial" w:hAnsiTheme="minorHAnsi" w:cs="Arial"/>
                <w:sz w:val="20"/>
                <w:szCs w:val="20"/>
              </w:rPr>
              <w:t>200 candidates</w:t>
            </w:r>
          </w:p>
        </w:tc>
        <w:tc>
          <w:tcPr>
            <w:tcW w:w="5541" w:type="dxa"/>
            <w:tcMar>
              <w:top w:w="80" w:type="dxa"/>
              <w:left w:w="90" w:type="dxa"/>
              <w:bottom w:w="80" w:type="dxa"/>
              <w:right w:w="90" w:type="dxa"/>
            </w:tcMar>
            <w:vAlign w:val="center"/>
          </w:tcPr>
          <w:p w14:paraId="29D2DC13" w14:textId="77777777">
            <w:pPr>
              <w:spacing w:after="0" w:line="240" w:lineRule="auto"/>
              <w:rPr>
                <w:rFonts w:asciiTheme="minorHAnsi" w:hAnsiTheme="minorHAnsi"/>
                <w:sz w:val="20"/>
                <w:szCs w:val="20"/>
              </w:rPr>
            </w:pPr>
            <w:r>
              <w:rPr>
                <w:rFonts w:asciiTheme="minorHAnsi" w:eastAsia="Arial" w:hAnsiTheme="minorHAnsi" w:cs="Arial"/>
                <w:sz w:val="20"/>
                <w:szCs w:val="20"/>
              </w:rPr>
              <w:t>Matches the 200-student field deployment</w:t>
            </w:r>
          </w:p>
        </w:tc>
      </w:tr>
      <w:tr w14:paraId="38524C1F" w14:textId="77777777">
        <w:trPr>
          <w:jc w:val="center"/>
        </w:trPr>
        <w:tc>
          <w:tcPr>
            <w:tcW w:w="2426" w:type="dxa"/>
            <w:shd w:val="clear" w:color="auto" w:fill="F3F6FB"/>
            <w:tcMar>
              <w:top w:w="80" w:type="dxa"/>
              <w:left w:w="90" w:type="dxa"/>
              <w:bottom w:w="80" w:type="dxa"/>
              <w:right w:w="90" w:type="dxa"/>
            </w:tcMar>
          </w:tcPr>
          <w:p w14:paraId="66F3E25B" w14:textId="77777777">
            <w:pPr>
              <w:spacing w:after="0" w:line="240" w:lineRule="auto"/>
              <w:rPr>
                <w:rFonts w:asciiTheme="minorHAnsi" w:hAnsiTheme="minorHAnsi"/>
                <w:sz w:val="20"/>
                <w:szCs w:val="20"/>
              </w:rPr>
            </w:pPr>
            <w:r>
              <w:rPr>
                <w:rFonts w:asciiTheme="minorHAnsi" w:eastAsia="Arial" w:hAnsiTheme="minorHAnsi" w:cs="Arial"/>
                <w:sz w:val="20"/>
                <w:szCs w:val="20"/>
              </w:rPr>
              <w:t>Replications</w:t>
            </w:r>
          </w:p>
        </w:tc>
        <w:tc>
          <w:tcPr>
            <w:tcW w:w="2144" w:type="dxa"/>
            <w:shd w:val="clear" w:color="auto" w:fill="F3F6FB"/>
            <w:tcMar>
              <w:top w:w="80" w:type="dxa"/>
              <w:left w:w="90" w:type="dxa"/>
              <w:bottom w:w="80" w:type="dxa"/>
              <w:right w:w="90" w:type="dxa"/>
            </w:tcMar>
          </w:tcPr>
          <w:p w14:paraId="353FA00A" w14:textId="77777777">
            <w:pPr>
              <w:spacing w:after="0" w:line="240" w:lineRule="auto"/>
              <w:rPr>
                <w:rFonts w:asciiTheme="minorHAnsi" w:hAnsiTheme="minorHAnsi"/>
                <w:sz w:val="20"/>
                <w:szCs w:val="20"/>
              </w:rPr>
            </w:pPr>
            <w:r>
              <w:rPr>
                <w:rFonts w:asciiTheme="minorHAnsi" w:eastAsia="Arial" w:hAnsiTheme="minorHAnsi" w:cs="Arial"/>
                <w:sz w:val="20"/>
                <w:szCs w:val="20"/>
              </w:rPr>
              <w:t>1,000</w:t>
            </w:r>
          </w:p>
        </w:tc>
        <w:tc>
          <w:tcPr>
            <w:tcW w:w="5541" w:type="dxa"/>
            <w:shd w:val="clear" w:color="auto" w:fill="F3F6FB"/>
            <w:tcMar>
              <w:top w:w="80" w:type="dxa"/>
              <w:left w:w="90" w:type="dxa"/>
              <w:bottom w:w="80" w:type="dxa"/>
              <w:right w:w="90" w:type="dxa"/>
            </w:tcMar>
          </w:tcPr>
          <w:p w14:paraId="64EB7772" w14:textId="77777777">
            <w:pPr>
              <w:spacing w:after="0" w:line="240" w:lineRule="auto"/>
              <w:rPr>
                <w:rFonts w:asciiTheme="minorHAnsi" w:hAnsiTheme="minorHAnsi"/>
                <w:sz w:val="20"/>
                <w:szCs w:val="20"/>
              </w:rPr>
            </w:pPr>
            <w:r>
              <w:rPr>
                <w:rFonts w:asciiTheme="minorHAnsi" w:eastAsia="Arial" w:hAnsiTheme="minorHAnsi" w:cs="Arial"/>
                <w:sz w:val="20"/>
                <w:szCs w:val="20"/>
              </w:rPr>
              <w:t>Stabilizes distribution summaries while remaining reproducible</w:t>
            </w:r>
          </w:p>
        </w:tc>
      </w:tr>
      <w:tr w14:paraId="5F05378C" w14:textId="77777777">
        <w:trPr>
          <w:jc w:val="center"/>
        </w:trPr>
        <w:tc>
          <w:tcPr>
            <w:tcW w:w="2426" w:type="dxa"/>
            <w:tcMar>
              <w:top w:w="80" w:type="dxa"/>
              <w:left w:w="90" w:type="dxa"/>
              <w:bottom w:w="80" w:type="dxa"/>
              <w:right w:w="90" w:type="dxa"/>
            </w:tcMar>
          </w:tcPr>
          <w:p w14:paraId="483F16D4" w14:textId="77777777">
            <w:pPr>
              <w:spacing w:after="0" w:line="240" w:lineRule="auto"/>
              <w:rPr>
                <w:rFonts w:asciiTheme="minorHAnsi" w:hAnsiTheme="minorHAnsi"/>
                <w:sz w:val="20"/>
                <w:szCs w:val="20"/>
              </w:rPr>
            </w:pPr>
            <w:r>
              <w:rPr>
                <w:rFonts w:asciiTheme="minorHAnsi" w:eastAsia="Arial" w:hAnsiTheme="minorHAnsi" w:cs="Arial"/>
                <w:sz w:val="20"/>
                <w:szCs w:val="20"/>
              </w:rPr>
              <w:t>Random seed</w:t>
            </w:r>
          </w:p>
        </w:tc>
        <w:tc>
          <w:tcPr>
            <w:tcW w:w="2144" w:type="dxa"/>
            <w:tcMar>
              <w:top w:w="80" w:type="dxa"/>
              <w:left w:w="90" w:type="dxa"/>
              <w:bottom w:w="80" w:type="dxa"/>
              <w:right w:w="90" w:type="dxa"/>
            </w:tcMar>
          </w:tcPr>
          <w:p w14:paraId="375BAD7D" w14:textId="77777777">
            <w:pPr>
              <w:spacing w:after="0" w:line="240" w:lineRule="auto"/>
              <w:rPr>
                <w:rFonts w:asciiTheme="minorHAnsi" w:hAnsiTheme="minorHAnsi"/>
                <w:sz w:val="20"/>
                <w:szCs w:val="20"/>
              </w:rPr>
            </w:pPr>
            <w:r>
              <w:rPr>
                <w:rFonts w:asciiTheme="minorHAnsi" w:eastAsia="Arial" w:hAnsiTheme="minorHAnsi" w:cs="Arial"/>
                <w:sz w:val="20"/>
                <w:szCs w:val="20"/>
              </w:rPr>
              <w:t>202606</w:t>
            </w:r>
          </w:p>
        </w:tc>
        <w:tc>
          <w:tcPr>
            <w:tcW w:w="5541" w:type="dxa"/>
            <w:tcMar>
              <w:top w:w="80" w:type="dxa"/>
              <w:left w:w="90" w:type="dxa"/>
              <w:bottom w:w="80" w:type="dxa"/>
              <w:right w:w="90" w:type="dxa"/>
            </w:tcMar>
          </w:tcPr>
          <w:p w14:paraId="531B7285" w14:textId="77777777">
            <w:pPr>
              <w:spacing w:after="0" w:line="240" w:lineRule="auto"/>
              <w:rPr>
                <w:rFonts w:asciiTheme="minorHAnsi" w:hAnsiTheme="minorHAnsi"/>
                <w:sz w:val="20"/>
                <w:szCs w:val="20"/>
              </w:rPr>
            </w:pPr>
            <w:r>
              <w:rPr>
                <w:rFonts w:asciiTheme="minorHAnsi" w:eastAsia="Arial" w:hAnsiTheme="minorHAnsi" w:cs="Arial"/>
                <w:sz w:val="20"/>
                <w:szCs w:val="20"/>
              </w:rPr>
              <w:t>Full reproducibility of Monte Carlo outputs</w:t>
            </w:r>
          </w:p>
        </w:tc>
      </w:tr>
    </w:tbl>
    <w:p w14:paraId="6630F0E4" w14:textId="77777777">
      <w:pPr>
        <w:pStyle w:val="Caption"/>
        <w:spacing w:after="0"/>
        <w:rPr>
          <w:rFonts w:asciiTheme="minorHAnsi" w:hAnsiTheme="minorHAnsi"/>
          <w:sz w:val="20"/>
          <w:szCs w:val="20"/>
        </w:rPr>
      </w:pPr>
      <w:r>
        <w:rPr>
          <w:rFonts w:asciiTheme="minorHAnsi" w:eastAsia="Arial" w:hAnsiTheme="minorHAnsi" w:cs="Arial"/>
          <w:sz w:val="20"/>
          <w:szCs w:val="20"/>
        </w:rPr>
        <w:t>Table 2. Core assessment and simulation parameters.</w:t>
      </w:r>
    </w:p>
    <w:p w14:paraId="7E963E68" w14:textId="77777777">
      <w:pPr>
        <w:pStyle w:val="Heading1"/>
        <w:spacing w:after="0"/>
        <w:jc w:val="both"/>
        <w:rPr>
          <w:rFonts w:asciiTheme="minorHAnsi" w:hAnsiTheme="minorHAnsi"/>
          <w:sz w:val="20"/>
          <w:szCs w:val="20"/>
        </w:rPr>
      </w:pPr>
      <w:r>
        <w:rPr>
          <w:rFonts w:asciiTheme="minorHAnsi" w:hAnsiTheme="minorHAnsi"/>
          <w:sz w:val="20"/>
          <w:szCs w:val="20"/>
        </w:rPr>
        <w:t>3.4 Acceptance criteria</w:t>
      </w:r>
    </w:p>
    <w:p w14:paraId="64E504FB" w14:textId="77777777">
      <w:pPr>
        <w:spacing w:after="0"/>
        <w:jc w:val="both"/>
        <w:rPr>
          <w:rFonts w:asciiTheme="minorHAnsi" w:hAnsiTheme="minorHAnsi"/>
          <w:sz w:val="20"/>
          <w:szCs w:val="20"/>
        </w:rPr>
      </w:pPr>
      <w:r>
        <w:rPr>
          <w:rFonts w:asciiTheme="minorHAnsi" w:eastAsia="Arial" w:hAnsiTheme="minorHAnsi" w:cs="Arial"/>
          <w:sz w:val="20"/>
          <w:szCs w:val="20"/>
        </w:rPr>
        <w:t>Engineering acceptance criteria were specified before interpreting the simulation: (a) every candidate receives exactly 70 distinct items; (b) exact duplicate forms are practically impossible for a 200-candidate cohort; (c) mean pairwise overlap remains approximately 10 items or lower; (d) the 95th percentile of pairwise overlap remains no greater than 15 items in typical runs; and (e) exposure is distributed across the bank rather than collapsing onto a small subset of questions. Content validity was treated separately from security: simple random sampling can satisfy diversity criteria while still producing uneven domain representation, so a blueprint-constrained sampler is evaluated as a design recommendation.</w:t>
      </w:r>
    </w:p>
    <w:p w14:paraId="40FCEBEC" w14:textId="77777777">
      <w:pPr>
        <w:pStyle w:val="Heading1"/>
        <w:spacing w:after="0"/>
        <w:jc w:val="both"/>
        <w:rPr>
          <w:rFonts w:asciiTheme="minorHAnsi" w:hAnsiTheme="minorHAnsi"/>
          <w:sz w:val="20"/>
          <w:szCs w:val="20"/>
        </w:rPr>
      </w:pPr>
      <w:r>
        <w:rPr>
          <w:rFonts w:asciiTheme="minorHAnsi" w:hAnsiTheme="minorHAnsi"/>
          <w:sz w:val="20"/>
          <w:szCs w:val="20"/>
        </w:rPr>
        <w:t>3.5 Statistical analysis</w:t>
      </w:r>
    </w:p>
    <w:p w14:paraId="41F3954D" w14:textId="77777777">
      <w:pPr>
        <w:spacing w:after="0"/>
        <w:jc w:val="both"/>
        <w:rPr>
          <w:rFonts w:asciiTheme="minorHAnsi" w:hAnsiTheme="minorHAnsi"/>
          <w:sz w:val="20"/>
          <w:szCs w:val="20"/>
        </w:rPr>
      </w:pPr>
      <w:r>
        <w:rPr>
          <w:rFonts w:asciiTheme="minorHAnsi" w:eastAsia="Arial" w:hAnsiTheme="minorHAnsi" w:cs="Arial"/>
          <w:sz w:val="20"/>
          <w:szCs w:val="20"/>
        </w:rPr>
        <w:t xml:space="preserve">Exact combinatorial and hypergeometric calculations were used for form counts and overlap probabilities. Item exposure for a fixed item under simple random sampling was modelled as Y ~ </w:t>
      </w:r>
      <w:proofErr w:type="gramStart"/>
      <w:r>
        <w:rPr>
          <w:rFonts w:asciiTheme="minorHAnsi" w:eastAsia="Arial" w:hAnsiTheme="minorHAnsi" w:cs="Arial"/>
          <w:sz w:val="20"/>
          <w:szCs w:val="20"/>
        </w:rPr>
        <w:t>Binomial(</w:t>
      </w:r>
      <w:proofErr w:type="gramEnd"/>
      <w:r>
        <w:rPr>
          <w:rFonts w:asciiTheme="minorHAnsi" w:eastAsia="Arial" w:hAnsiTheme="minorHAnsi" w:cs="Arial"/>
          <w:sz w:val="20"/>
          <w:szCs w:val="20"/>
        </w:rPr>
        <w:t>200, 0.14), giving E[Y]=28 and SD[Y]=4.91. Monte Carlo simulation generated 200 independent candidate forms per replication, each by random sampling without replacement from 500 items; pairwise overlaps were computed for all 19,900 candidate pairs. Exposure summaries were calculated over all 500 items. A separate 100,000-paper multivariate-hypergeometric simulation examined content imbalance under a hypothetical five-domain bank of 100 items per domain, with an ideal balanced target of 14 items per domain.</w:t>
      </w:r>
    </w:p>
    <w:p w14:paraId="38B37946" w14:textId="77777777">
      <w:pPr>
        <w:pStyle w:val="Heading1"/>
        <w:spacing w:after="0"/>
        <w:jc w:val="both"/>
        <w:rPr>
          <w:rFonts w:asciiTheme="minorHAnsi" w:hAnsiTheme="minorHAnsi"/>
          <w:sz w:val="20"/>
          <w:szCs w:val="20"/>
        </w:rPr>
      </w:pPr>
      <w:r>
        <w:rPr>
          <w:rFonts w:asciiTheme="minorHAnsi" w:hAnsiTheme="minorHAnsi"/>
          <w:sz w:val="20"/>
          <w:szCs w:val="20"/>
        </w:rPr>
        <w:t>3.6 Ethical, privacy and security considerations</w:t>
      </w:r>
    </w:p>
    <w:p w14:paraId="58404526" w14:textId="77777777">
      <w:pPr>
        <w:spacing w:after="0"/>
        <w:jc w:val="both"/>
        <w:rPr>
          <w:rFonts w:asciiTheme="minorHAnsi" w:hAnsiTheme="minorHAnsi"/>
          <w:sz w:val="20"/>
          <w:szCs w:val="20"/>
        </w:rPr>
      </w:pPr>
      <w:r>
        <w:rPr>
          <w:rFonts w:asciiTheme="minorHAnsi" w:eastAsia="Arial" w:hAnsiTheme="minorHAnsi" w:cs="Arial"/>
          <w:sz w:val="20"/>
          <w:szCs w:val="20"/>
        </w:rPr>
        <w:t>The study reports aggregate operational information from a routine institutional school assessment and does not disclose identifiable student records, individual scores, credentials, or security-sensitive administrative details. The simulation used synthetic candidate-paper assemblies only. Examination data were handled according to institutional procedures, and publication reporting was restricted to non-identifiable aggregate information. Security-sensitive elements such as credentials, PIN-generation secrets, database schemas, and privileged administrative endpoints are intentionally excluded from the manuscript.</w:t>
      </w:r>
    </w:p>
    <w:p w14:paraId="34A9B106" w14:textId="77777777">
      <w:pPr>
        <w:pStyle w:val="Heading1"/>
        <w:spacing w:after="0"/>
        <w:jc w:val="both"/>
        <w:rPr>
          <w:rFonts w:asciiTheme="minorHAnsi" w:hAnsiTheme="minorHAnsi"/>
          <w:sz w:val="20"/>
          <w:szCs w:val="20"/>
        </w:rPr>
      </w:pPr>
      <w:r>
        <w:rPr>
          <w:rFonts w:asciiTheme="minorHAnsi" w:hAnsiTheme="minorHAnsi"/>
          <w:sz w:val="20"/>
          <w:szCs w:val="20"/>
        </w:rPr>
        <w:t>4. System Design, Technologies and Implementation Techniques</w:t>
      </w:r>
    </w:p>
    <w:p w14:paraId="6CF9146F" w14:textId="77777777">
      <w:pPr>
        <w:pStyle w:val="Heading1"/>
        <w:spacing w:after="0"/>
        <w:jc w:val="both"/>
        <w:rPr>
          <w:rFonts w:asciiTheme="minorHAnsi" w:hAnsiTheme="minorHAnsi"/>
          <w:sz w:val="20"/>
          <w:szCs w:val="20"/>
        </w:rPr>
      </w:pPr>
      <w:r>
        <w:rPr>
          <w:rFonts w:asciiTheme="minorHAnsi" w:hAnsiTheme="minorHAnsi"/>
          <w:sz w:val="20"/>
          <w:szCs w:val="20"/>
        </w:rPr>
        <w:t>4.1 Functional architecture</w:t>
      </w:r>
    </w:p>
    <w:p w14:paraId="2A91DDB0" w14:textId="77777777">
      <w:pPr>
        <w:spacing w:after="0"/>
        <w:jc w:val="both"/>
        <w:rPr>
          <w:rFonts w:asciiTheme="minorHAnsi" w:hAnsiTheme="minorHAnsi"/>
          <w:sz w:val="20"/>
          <w:szCs w:val="20"/>
        </w:rPr>
      </w:pPr>
      <w:r>
        <w:rPr>
          <w:rFonts w:asciiTheme="minorHAnsi" w:eastAsia="Arial" w:hAnsiTheme="minorHAnsi" w:cs="Arial"/>
          <w:sz w:val="20"/>
          <w:szCs w:val="20"/>
        </w:rPr>
        <w:t>The portal integrates preparation and assessment in one workflow. Students can revise by class and subject, practise with diagram-based questions, retain a local profile and enter a live examination only when an examination window is open and PIN checks are satisfied. Administration is separated through an officer console. This role separation is important because the ability to open/close windows, inspect candidate status and review submissions should not be available in the candidate context.</w:t>
      </w:r>
    </w:p>
    <w:p w14:paraId="38F26A0D" w14:textId="77777777">
      <w:pPr>
        <w:spacing w:after="0"/>
        <w:rPr>
          <w:rFonts w:asciiTheme="minorHAnsi" w:hAnsiTheme="minorHAnsi"/>
          <w:sz w:val="20"/>
          <w:szCs w:val="20"/>
        </w:rPr>
      </w:pPr>
      <w:r>
        <w:rPr>
          <w:rFonts w:asciiTheme="minorHAnsi" w:eastAsia="Arial" w:hAnsiTheme="minorHAnsi" w:cs="Arial"/>
          <w:noProof/>
          <w:sz w:val="20"/>
          <w:szCs w:val="20"/>
        </w:rPr>
        <w:lastRenderedPageBreak/>
        <w:drawing>
          <wp:inline distT="0" distB="0" distL="0" distR="0" wp14:anchorId="24CF0F26" wp14:editId="3684DA61">
            <wp:extent cx="6217920" cy="3709371"/>
            <wp:effectExtent l="0" t="0" r="0" b="0"/>
            <wp:docPr id="1" name="Picture 1" descr="Logical architecture linking student browser, local profile, PIN access control, exam controller, 500-item subject bank, 70-item randomizer, scoring, audit/results and exam officer console." title="CACGWA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3"/>
                    <a:stretch>
                      <a:fillRect/>
                    </a:stretch>
                  </pic:blipFill>
                  <pic:spPr>
                    <a:xfrm>
                      <a:off x="0" y="0"/>
                      <a:ext cx="6217920" cy="3709371"/>
                    </a:xfrm>
                    <a:prstGeom prst="rect">
                      <a:avLst/>
                    </a:prstGeom>
                  </pic:spPr>
                </pic:pic>
              </a:graphicData>
            </a:graphic>
          </wp:inline>
        </w:drawing>
      </w:r>
    </w:p>
    <w:p w14:paraId="46DB48A4" w14:textId="77777777">
      <w:pPr>
        <w:pStyle w:val="Caption"/>
        <w:spacing w:after="0"/>
        <w:rPr>
          <w:rFonts w:asciiTheme="minorHAnsi" w:hAnsiTheme="minorHAnsi"/>
          <w:sz w:val="20"/>
          <w:szCs w:val="20"/>
        </w:rPr>
      </w:pPr>
      <w:r>
        <w:rPr>
          <w:rFonts w:asciiTheme="minorHAnsi" w:eastAsia="Arial" w:hAnsiTheme="minorHAnsi" w:cs="Arial"/>
          <w:i w:val="0"/>
          <w:sz w:val="20"/>
          <w:szCs w:val="20"/>
        </w:rPr>
        <w:t>Figure 1. Logical architecture of the CACGWA Student Revision and CBT Portal, showing the functional layers for candidate access, test assembly, scoring, auditing, and examination administration.</w:t>
      </w:r>
    </w:p>
    <w:p w14:paraId="657EA633" w14:textId="77777777">
      <w:pPr>
        <w:pStyle w:val="Heading1"/>
        <w:spacing w:after="0"/>
        <w:rPr>
          <w:rFonts w:asciiTheme="minorHAnsi" w:hAnsiTheme="minorHAnsi"/>
          <w:sz w:val="20"/>
          <w:szCs w:val="20"/>
        </w:rPr>
      </w:pPr>
      <w:r>
        <w:rPr>
          <w:rFonts w:asciiTheme="minorHAnsi" w:hAnsiTheme="minorHAnsi"/>
          <w:sz w:val="20"/>
          <w:szCs w:val="20"/>
        </w:rPr>
        <w:t>4.2 Technology and technique matrix</w:t>
      </w:r>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1480"/>
        <w:gridCol w:w="2152"/>
        <w:gridCol w:w="2934"/>
        <w:gridCol w:w="3545"/>
      </w:tblGrid>
      <w:tr w14:paraId="5C7B681B" w14:textId="77777777">
        <w:trPr>
          <w:tblHeader/>
          <w:jc w:val="center"/>
        </w:trPr>
        <w:tc>
          <w:tcPr>
            <w:tcW w:w="1440" w:type="dxa"/>
            <w:shd w:val="clear" w:color="auto" w:fill="071A45"/>
            <w:tcMar>
              <w:top w:w="80" w:type="dxa"/>
              <w:left w:w="90" w:type="dxa"/>
              <w:bottom w:w="80" w:type="dxa"/>
              <w:right w:w="90" w:type="dxa"/>
            </w:tcMar>
            <w:vAlign w:val="center"/>
          </w:tcPr>
          <w:p w14:paraId="46BADE93"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Layer</w:t>
            </w:r>
          </w:p>
        </w:tc>
        <w:tc>
          <w:tcPr>
            <w:tcW w:w="2088" w:type="dxa"/>
            <w:shd w:val="clear" w:color="auto" w:fill="071A45"/>
            <w:tcMar>
              <w:top w:w="80" w:type="dxa"/>
              <w:left w:w="90" w:type="dxa"/>
              <w:bottom w:w="80" w:type="dxa"/>
              <w:right w:w="90" w:type="dxa"/>
            </w:tcMar>
            <w:vAlign w:val="center"/>
          </w:tcPr>
          <w:p w14:paraId="09F98466"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Technology / technique</w:t>
            </w:r>
          </w:p>
        </w:tc>
        <w:tc>
          <w:tcPr>
            <w:tcW w:w="3024" w:type="dxa"/>
            <w:shd w:val="clear" w:color="auto" w:fill="071A45"/>
            <w:tcMar>
              <w:top w:w="80" w:type="dxa"/>
              <w:left w:w="90" w:type="dxa"/>
              <w:bottom w:w="80" w:type="dxa"/>
              <w:right w:w="90" w:type="dxa"/>
            </w:tcMar>
            <w:vAlign w:val="center"/>
          </w:tcPr>
          <w:p w14:paraId="4458EC1C"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Function</w:t>
            </w:r>
          </w:p>
        </w:tc>
        <w:tc>
          <w:tcPr>
            <w:tcW w:w="3672" w:type="dxa"/>
            <w:shd w:val="clear" w:color="auto" w:fill="071A45"/>
            <w:tcMar>
              <w:top w:w="80" w:type="dxa"/>
              <w:left w:w="90" w:type="dxa"/>
              <w:bottom w:w="80" w:type="dxa"/>
              <w:right w:w="90" w:type="dxa"/>
            </w:tcMar>
            <w:vAlign w:val="center"/>
          </w:tcPr>
          <w:p w14:paraId="2266CAB6"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Implementation status</w:t>
            </w:r>
          </w:p>
        </w:tc>
      </w:tr>
      <w:tr w14:paraId="26D9061A" w14:textId="77777777">
        <w:trPr>
          <w:jc w:val="center"/>
        </w:trPr>
        <w:tc>
          <w:tcPr>
            <w:tcW w:w="1440" w:type="dxa"/>
            <w:tcMar>
              <w:top w:w="80" w:type="dxa"/>
              <w:left w:w="90" w:type="dxa"/>
              <w:bottom w:w="80" w:type="dxa"/>
              <w:right w:w="90" w:type="dxa"/>
            </w:tcMar>
          </w:tcPr>
          <w:p w14:paraId="0555B24C" w14:textId="77777777">
            <w:pPr>
              <w:spacing w:after="0" w:line="240" w:lineRule="auto"/>
              <w:rPr>
                <w:rFonts w:asciiTheme="minorHAnsi" w:hAnsiTheme="minorHAnsi"/>
                <w:sz w:val="20"/>
                <w:szCs w:val="20"/>
              </w:rPr>
            </w:pPr>
            <w:r>
              <w:rPr>
                <w:rFonts w:asciiTheme="minorHAnsi" w:eastAsia="Arial" w:hAnsiTheme="minorHAnsi" w:cs="Arial"/>
                <w:sz w:val="20"/>
                <w:szCs w:val="20"/>
              </w:rPr>
              <w:t>Presentation</w:t>
            </w:r>
          </w:p>
        </w:tc>
        <w:tc>
          <w:tcPr>
            <w:tcW w:w="2088" w:type="dxa"/>
            <w:tcMar>
              <w:top w:w="80" w:type="dxa"/>
              <w:left w:w="90" w:type="dxa"/>
              <w:bottom w:w="80" w:type="dxa"/>
              <w:right w:w="90" w:type="dxa"/>
            </w:tcMar>
            <w:vAlign w:val="center"/>
          </w:tcPr>
          <w:p w14:paraId="43A5C2F5" w14:textId="77777777">
            <w:pPr>
              <w:spacing w:after="0" w:line="240" w:lineRule="auto"/>
              <w:rPr>
                <w:rFonts w:asciiTheme="minorHAnsi" w:hAnsiTheme="minorHAnsi"/>
                <w:sz w:val="20"/>
                <w:szCs w:val="20"/>
              </w:rPr>
            </w:pPr>
            <w:r>
              <w:rPr>
                <w:rFonts w:asciiTheme="minorHAnsi" w:eastAsia="Arial" w:hAnsiTheme="minorHAnsi" w:cs="Arial"/>
                <w:sz w:val="20"/>
                <w:szCs w:val="20"/>
              </w:rPr>
              <w:t>Responsive web interface (HTML/CSS/JavaScript class)</w:t>
            </w:r>
          </w:p>
        </w:tc>
        <w:tc>
          <w:tcPr>
            <w:tcW w:w="3024" w:type="dxa"/>
            <w:tcMar>
              <w:top w:w="80" w:type="dxa"/>
              <w:left w:w="90" w:type="dxa"/>
              <w:bottom w:w="80" w:type="dxa"/>
              <w:right w:w="90" w:type="dxa"/>
            </w:tcMar>
          </w:tcPr>
          <w:p w14:paraId="4935176E" w14:textId="77777777">
            <w:pPr>
              <w:spacing w:after="0" w:line="240" w:lineRule="auto"/>
              <w:rPr>
                <w:rFonts w:asciiTheme="minorHAnsi" w:hAnsiTheme="minorHAnsi"/>
                <w:sz w:val="20"/>
                <w:szCs w:val="20"/>
              </w:rPr>
            </w:pPr>
            <w:r>
              <w:rPr>
                <w:rFonts w:asciiTheme="minorHAnsi" w:eastAsia="Arial" w:hAnsiTheme="minorHAnsi" w:cs="Arial"/>
                <w:sz w:val="20"/>
                <w:szCs w:val="20"/>
              </w:rPr>
              <w:t>Cross-device student and staff interaction</w:t>
            </w:r>
          </w:p>
        </w:tc>
        <w:tc>
          <w:tcPr>
            <w:tcW w:w="3672" w:type="dxa"/>
            <w:tcMar>
              <w:top w:w="80" w:type="dxa"/>
              <w:left w:w="90" w:type="dxa"/>
              <w:bottom w:w="80" w:type="dxa"/>
              <w:right w:w="90" w:type="dxa"/>
            </w:tcMar>
            <w:vAlign w:val="center"/>
          </w:tcPr>
          <w:p w14:paraId="14D0BC6B" w14:textId="77777777">
            <w:pPr>
              <w:spacing w:after="0" w:line="240" w:lineRule="auto"/>
              <w:rPr>
                <w:rFonts w:asciiTheme="minorHAnsi" w:hAnsiTheme="minorHAnsi"/>
                <w:sz w:val="20"/>
                <w:szCs w:val="20"/>
              </w:rPr>
            </w:pPr>
            <w:r>
              <w:rPr>
                <w:rFonts w:asciiTheme="minorHAnsi" w:eastAsia="Arial" w:hAnsiTheme="minorHAnsi" w:cs="Arial"/>
                <w:sz w:val="20"/>
                <w:szCs w:val="20"/>
              </w:rPr>
              <w:t>Deployed responsive web interface</w:t>
            </w:r>
          </w:p>
        </w:tc>
      </w:tr>
      <w:tr w14:paraId="6E329E18" w14:textId="77777777">
        <w:trPr>
          <w:jc w:val="center"/>
        </w:trPr>
        <w:tc>
          <w:tcPr>
            <w:tcW w:w="1440" w:type="dxa"/>
            <w:shd w:val="clear" w:color="auto" w:fill="F3F6FB"/>
            <w:tcMar>
              <w:top w:w="80" w:type="dxa"/>
              <w:left w:w="90" w:type="dxa"/>
              <w:bottom w:w="80" w:type="dxa"/>
              <w:right w:w="90" w:type="dxa"/>
            </w:tcMar>
          </w:tcPr>
          <w:p w14:paraId="6ECBD3E2" w14:textId="77777777">
            <w:pPr>
              <w:spacing w:after="0" w:line="240" w:lineRule="auto"/>
              <w:rPr>
                <w:rFonts w:asciiTheme="minorHAnsi" w:hAnsiTheme="minorHAnsi"/>
                <w:sz w:val="20"/>
                <w:szCs w:val="20"/>
              </w:rPr>
            </w:pPr>
            <w:r>
              <w:rPr>
                <w:rFonts w:asciiTheme="minorHAnsi" w:eastAsia="Arial" w:hAnsiTheme="minorHAnsi" w:cs="Arial"/>
                <w:sz w:val="20"/>
                <w:szCs w:val="20"/>
              </w:rPr>
              <w:t>Progressive web capability</w:t>
            </w:r>
          </w:p>
        </w:tc>
        <w:tc>
          <w:tcPr>
            <w:tcW w:w="2088" w:type="dxa"/>
            <w:shd w:val="clear" w:color="auto" w:fill="F3F6FB"/>
            <w:tcMar>
              <w:top w:w="80" w:type="dxa"/>
              <w:left w:w="90" w:type="dxa"/>
              <w:bottom w:w="80" w:type="dxa"/>
              <w:right w:w="90" w:type="dxa"/>
            </w:tcMar>
            <w:vAlign w:val="center"/>
          </w:tcPr>
          <w:p w14:paraId="1C8C6709" w14:textId="77777777">
            <w:pPr>
              <w:spacing w:after="0" w:line="240" w:lineRule="auto"/>
              <w:rPr>
                <w:rFonts w:asciiTheme="minorHAnsi" w:hAnsiTheme="minorHAnsi"/>
                <w:sz w:val="20"/>
                <w:szCs w:val="20"/>
              </w:rPr>
            </w:pPr>
            <w:r>
              <w:rPr>
                <w:rFonts w:asciiTheme="minorHAnsi" w:eastAsia="Arial" w:hAnsiTheme="minorHAnsi" w:cs="Arial"/>
                <w:sz w:val="20"/>
                <w:szCs w:val="20"/>
              </w:rPr>
              <w:t>PWA caching for revision content</w:t>
            </w:r>
          </w:p>
        </w:tc>
        <w:tc>
          <w:tcPr>
            <w:tcW w:w="3024" w:type="dxa"/>
            <w:shd w:val="clear" w:color="auto" w:fill="F3F6FB"/>
            <w:tcMar>
              <w:top w:w="80" w:type="dxa"/>
              <w:left w:w="90" w:type="dxa"/>
              <w:bottom w:w="80" w:type="dxa"/>
              <w:right w:w="90" w:type="dxa"/>
            </w:tcMar>
            <w:vAlign w:val="center"/>
          </w:tcPr>
          <w:p w14:paraId="51598754" w14:textId="77777777">
            <w:pPr>
              <w:spacing w:after="0" w:line="240" w:lineRule="auto"/>
              <w:rPr>
                <w:rFonts w:asciiTheme="minorHAnsi" w:hAnsiTheme="minorHAnsi"/>
                <w:sz w:val="20"/>
                <w:szCs w:val="20"/>
              </w:rPr>
            </w:pPr>
            <w:r>
              <w:rPr>
                <w:rFonts w:asciiTheme="minorHAnsi" w:eastAsia="Arial" w:hAnsiTheme="minorHAnsi" w:cs="Arial"/>
                <w:sz w:val="20"/>
                <w:szCs w:val="20"/>
              </w:rPr>
              <w:t>Supports revision access after the first successful visit</w:t>
            </w:r>
          </w:p>
        </w:tc>
        <w:tc>
          <w:tcPr>
            <w:tcW w:w="3672" w:type="dxa"/>
            <w:shd w:val="clear" w:color="auto" w:fill="F3F6FB"/>
            <w:tcMar>
              <w:top w:w="80" w:type="dxa"/>
              <w:left w:w="90" w:type="dxa"/>
              <w:bottom w:w="80" w:type="dxa"/>
              <w:right w:w="90" w:type="dxa"/>
            </w:tcMar>
            <w:vAlign w:val="center"/>
          </w:tcPr>
          <w:p w14:paraId="72A99128" w14:textId="77777777">
            <w:pPr>
              <w:spacing w:after="0" w:line="240" w:lineRule="auto"/>
              <w:rPr>
                <w:rFonts w:asciiTheme="minorHAnsi" w:hAnsiTheme="minorHAnsi"/>
                <w:sz w:val="20"/>
                <w:szCs w:val="20"/>
              </w:rPr>
            </w:pPr>
            <w:r>
              <w:rPr>
                <w:rFonts w:asciiTheme="minorHAnsi" w:eastAsia="Arial" w:hAnsiTheme="minorHAnsi" w:cs="Arial"/>
                <w:sz w:val="20"/>
                <w:szCs w:val="20"/>
              </w:rPr>
              <w:t>Implemented for revision access</w:t>
            </w:r>
          </w:p>
        </w:tc>
      </w:tr>
      <w:tr w14:paraId="1F6498A7" w14:textId="77777777">
        <w:trPr>
          <w:jc w:val="center"/>
        </w:trPr>
        <w:tc>
          <w:tcPr>
            <w:tcW w:w="1440" w:type="dxa"/>
            <w:tcMar>
              <w:top w:w="80" w:type="dxa"/>
              <w:left w:w="90" w:type="dxa"/>
              <w:bottom w:w="80" w:type="dxa"/>
              <w:right w:w="90" w:type="dxa"/>
            </w:tcMar>
          </w:tcPr>
          <w:p w14:paraId="26E7F495" w14:textId="77777777">
            <w:pPr>
              <w:spacing w:after="0" w:line="240" w:lineRule="auto"/>
              <w:rPr>
                <w:rFonts w:asciiTheme="minorHAnsi" w:hAnsiTheme="minorHAnsi"/>
                <w:sz w:val="20"/>
                <w:szCs w:val="20"/>
              </w:rPr>
            </w:pPr>
            <w:r>
              <w:rPr>
                <w:rFonts w:asciiTheme="minorHAnsi" w:eastAsia="Arial" w:hAnsiTheme="minorHAnsi" w:cs="Arial"/>
                <w:sz w:val="20"/>
                <w:szCs w:val="20"/>
              </w:rPr>
              <w:t>Client state</w:t>
            </w:r>
          </w:p>
        </w:tc>
        <w:tc>
          <w:tcPr>
            <w:tcW w:w="2088" w:type="dxa"/>
            <w:tcMar>
              <w:top w:w="80" w:type="dxa"/>
              <w:left w:w="90" w:type="dxa"/>
              <w:bottom w:w="80" w:type="dxa"/>
              <w:right w:w="90" w:type="dxa"/>
            </w:tcMar>
          </w:tcPr>
          <w:p w14:paraId="2B9EC754" w14:textId="77777777">
            <w:pPr>
              <w:spacing w:after="0" w:line="240" w:lineRule="auto"/>
              <w:rPr>
                <w:rFonts w:asciiTheme="minorHAnsi" w:hAnsiTheme="minorHAnsi"/>
                <w:sz w:val="20"/>
                <w:szCs w:val="20"/>
              </w:rPr>
            </w:pPr>
            <w:r>
              <w:rPr>
                <w:rFonts w:asciiTheme="minorHAnsi" w:eastAsia="Arial" w:hAnsiTheme="minorHAnsi" w:cs="Arial"/>
                <w:sz w:val="20"/>
                <w:szCs w:val="20"/>
              </w:rPr>
              <w:t>Device-local student profile and class</w:t>
            </w:r>
          </w:p>
        </w:tc>
        <w:tc>
          <w:tcPr>
            <w:tcW w:w="3024" w:type="dxa"/>
            <w:tcMar>
              <w:top w:w="80" w:type="dxa"/>
              <w:left w:w="90" w:type="dxa"/>
              <w:bottom w:w="80" w:type="dxa"/>
              <w:right w:w="90" w:type="dxa"/>
            </w:tcMar>
          </w:tcPr>
          <w:p w14:paraId="0551BB22" w14:textId="77777777">
            <w:pPr>
              <w:spacing w:after="0" w:line="240" w:lineRule="auto"/>
              <w:rPr>
                <w:rFonts w:asciiTheme="minorHAnsi" w:hAnsiTheme="minorHAnsi"/>
                <w:sz w:val="20"/>
                <w:szCs w:val="20"/>
              </w:rPr>
            </w:pPr>
            <w:r>
              <w:rPr>
                <w:rFonts w:asciiTheme="minorHAnsi" w:eastAsia="Arial" w:hAnsiTheme="minorHAnsi" w:cs="Arial"/>
                <w:sz w:val="20"/>
                <w:szCs w:val="20"/>
              </w:rPr>
              <w:t>Reduces repeated identity/class entry</w:t>
            </w:r>
          </w:p>
        </w:tc>
        <w:tc>
          <w:tcPr>
            <w:tcW w:w="3672" w:type="dxa"/>
            <w:tcMar>
              <w:top w:w="80" w:type="dxa"/>
              <w:left w:w="90" w:type="dxa"/>
              <w:bottom w:w="80" w:type="dxa"/>
              <w:right w:w="90" w:type="dxa"/>
            </w:tcMar>
            <w:vAlign w:val="center"/>
          </w:tcPr>
          <w:p w14:paraId="2B84C41F" w14:textId="77777777">
            <w:pPr>
              <w:spacing w:after="0" w:line="240" w:lineRule="auto"/>
              <w:rPr>
                <w:rFonts w:asciiTheme="minorHAnsi" w:hAnsiTheme="minorHAnsi"/>
                <w:sz w:val="20"/>
                <w:szCs w:val="20"/>
              </w:rPr>
            </w:pPr>
            <w:r>
              <w:rPr>
                <w:rFonts w:asciiTheme="minorHAnsi" w:eastAsia="Arial" w:hAnsiTheme="minorHAnsi" w:cs="Arial"/>
                <w:sz w:val="20"/>
                <w:szCs w:val="20"/>
              </w:rPr>
              <w:t>Implemented in student workflow</w:t>
            </w:r>
          </w:p>
        </w:tc>
      </w:tr>
      <w:tr w14:paraId="61C69A1A" w14:textId="77777777">
        <w:trPr>
          <w:jc w:val="center"/>
        </w:trPr>
        <w:tc>
          <w:tcPr>
            <w:tcW w:w="1440" w:type="dxa"/>
            <w:shd w:val="clear" w:color="auto" w:fill="F3F6FB"/>
            <w:tcMar>
              <w:top w:w="80" w:type="dxa"/>
              <w:left w:w="90" w:type="dxa"/>
              <w:bottom w:w="80" w:type="dxa"/>
              <w:right w:w="90" w:type="dxa"/>
            </w:tcMar>
          </w:tcPr>
          <w:p w14:paraId="71410BC4" w14:textId="77777777">
            <w:pPr>
              <w:spacing w:after="0" w:line="240" w:lineRule="auto"/>
              <w:rPr>
                <w:rFonts w:asciiTheme="minorHAnsi" w:hAnsiTheme="minorHAnsi"/>
                <w:sz w:val="20"/>
                <w:szCs w:val="20"/>
              </w:rPr>
            </w:pPr>
            <w:r>
              <w:rPr>
                <w:rFonts w:asciiTheme="minorHAnsi" w:eastAsia="Arial" w:hAnsiTheme="minorHAnsi" w:cs="Arial"/>
                <w:sz w:val="20"/>
                <w:szCs w:val="20"/>
              </w:rPr>
              <w:t>Authentication</w:t>
            </w:r>
          </w:p>
        </w:tc>
        <w:tc>
          <w:tcPr>
            <w:tcW w:w="2088" w:type="dxa"/>
            <w:shd w:val="clear" w:color="auto" w:fill="F3F6FB"/>
            <w:tcMar>
              <w:top w:w="80" w:type="dxa"/>
              <w:left w:w="90" w:type="dxa"/>
              <w:bottom w:w="80" w:type="dxa"/>
              <w:right w:w="90" w:type="dxa"/>
            </w:tcMar>
          </w:tcPr>
          <w:p w14:paraId="676D5AE2" w14:textId="77777777">
            <w:pPr>
              <w:spacing w:after="0" w:line="240" w:lineRule="auto"/>
              <w:rPr>
                <w:rFonts w:asciiTheme="minorHAnsi" w:hAnsiTheme="minorHAnsi"/>
                <w:sz w:val="20"/>
                <w:szCs w:val="20"/>
              </w:rPr>
            </w:pPr>
            <w:r>
              <w:rPr>
                <w:rFonts w:asciiTheme="minorHAnsi" w:eastAsia="Arial" w:hAnsiTheme="minorHAnsi" w:cs="Arial"/>
                <w:sz w:val="20"/>
                <w:szCs w:val="20"/>
              </w:rPr>
              <w:t>Student access PIN + fresh exam PIN</w:t>
            </w:r>
          </w:p>
        </w:tc>
        <w:tc>
          <w:tcPr>
            <w:tcW w:w="3024" w:type="dxa"/>
            <w:shd w:val="clear" w:color="auto" w:fill="F3F6FB"/>
            <w:tcMar>
              <w:top w:w="80" w:type="dxa"/>
              <w:left w:w="90" w:type="dxa"/>
              <w:bottom w:w="80" w:type="dxa"/>
              <w:right w:w="90" w:type="dxa"/>
            </w:tcMar>
          </w:tcPr>
          <w:p w14:paraId="69447387" w14:textId="77777777">
            <w:pPr>
              <w:spacing w:after="0" w:line="240" w:lineRule="auto"/>
              <w:rPr>
                <w:rFonts w:asciiTheme="minorHAnsi" w:hAnsiTheme="minorHAnsi"/>
                <w:sz w:val="20"/>
                <w:szCs w:val="20"/>
              </w:rPr>
            </w:pPr>
            <w:r>
              <w:rPr>
                <w:rFonts w:asciiTheme="minorHAnsi" w:eastAsia="Arial" w:hAnsiTheme="minorHAnsi" w:cs="Arial"/>
                <w:sz w:val="20"/>
                <w:szCs w:val="20"/>
              </w:rPr>
              <w:t>Two-step gating before live exam</w:t>
            </w:r>
          </w:p>
        </w:tc>
        <w:tc>
          <w:tcPr>
            <w:tcW w:w="3672" w:type="dxa"/>
            <w:shd w:val="clear" w:color="auto" w:fill="F3F6FB"/>
            <w:tcMar>
              <w:top w:w="80" w:type="dxa"/>
              <w:left w:w="90" w:type="dxa"/>
              <w:bottom w:w="80" w:type="dxa"/>
              <w:right w:w="90" w:type="dxa"/>
            </w:tcMar>
            <w:vAlign w:val="center"/>
          </w:tcPr>
          <w:p w14:paraId="021103AC" w14:textId="77777777">
            <w:pPr>
              <w:spacing w:after="0" w:line="240" w:lineRule="auto"/>
              <w:rPr>
                <w:rFonts w:asciiTheme="minorHAnsi" w:hAnsiTheme="minorHAnsi"/>
                <w:sz w:val="20"/>
                <w:szCs w:val="20"/>
              </w:rPr>
            </w:pPr>
            <w:r>
              <w:rPr>
                <w:rFonts w:asciiTheme="minorHAnsi" w:eastAsia="Arial" w:hAnsiTheme="minorHAnsi" w:cs="Arial"/>
                <w:sz w:val="20"/>
                <w:szCs w:val="20"/>
              </w:rPr>
              <w:t>Implemented dual-PIN access control</w:t>
            </w:r>
          </w:p>
        </w:tc>
      </w:tr>
      <w:tr w14:paraId="2718E195" w14:textId="77777777">
        <w:trPr>
          <w:jc w:val="center"/>
        </w:trPr>
        <w:tc>
          <w:tcPr>
            <w:tcW w:w="1440" w:type="dxa"/>
            <w:tcMar>
              <w:top w:w="80" w:type="dxa"/>
              <w:left w:w="90" w:type="dxa"/>
              <w:bottom w:w="80" w:type="dxa"/>
              <w:right w:w="90" w:type="dxa"/>
            </w:tcMar>
          </w:tcPr>
          <w:p w14:paraId="1B12AF44" w14:textId="77777777">
            <w:pPr>
              <w:spacing w:after="0" w:line="240" w:lineRule="auto"/>
              <w:rPr>
                <w:rFonts w:asciiTheme="minorHAnsi" w:hAnsiTheme="minorHAnsi"/>
                <w:sz w:val="20"/>
                <w:szCs w:val="20"/>
              </w:rPr>
            </w:pPr>
            <w:r>
              <w:rPr>
                <w:rFonts w:asciiTheme="minorHAnsi" w:eastAsia="Arial" w:hAnsiTheme="minorHAnsi" w:cs="Arial"/>
                <w:sz w:val="20"/>
                <w:szCs w:val="20"/>
              </w:rPr>
              <w:t>Scheduling</w:t>
            </w:r>
          </w:p>
        </w:tc>
        <w:tc>
          <w:tcPr>
            <w:tcW w:w="2088" w:type="dxa"/>
            <w:tcMar>
              <w:top w:w="80" w:type="dxa"/>
              <w:left w:w="90" w:type="dxa"/>
              <w:bottom w:w="80" w:type="dxa"/>
              <w:right w:w="90" w:type="dxa"/>
            </w:tcMar>
          </w:tcPr>
          <w:p w14:paraId="36DA89B0" w14:textId="77777777">
            <w:pPr>
              <w:spacing w:after="0" w:line="240" w:lineRule="auto"/>
              <w:rPr>
                <w:rFonts w:asciiTheme="minorHAnsi" w:hAnsiTheme="minorHAnsi"/>
                <w:sz w:val="20"/>
                <w:szCs w:val="20"/>
              </w:rPr>
            </w:pPr>
            <w:r>
              <w:rPr>
                <w:rFonts w:asciiTheme="minorHAnsi" w:eastAsia="Arial" w:hAnsiTheme="minorHAnsi" w:cs="Arial"/>
                <w:sz w:val="20"/>
                <w:szCs w:val="20"/>
              </w:rPr>
              <w:t>Exam window control + timer</w:t>
            </w:r>
          </w:p>
        </w:tc>
        <w:tc>
          <w:tcPr>
            <w:tcW w:w="3024" w:type="dxa"/>
            <w:tcMar>
              <w:top w:w="80" w:type="dxa"/>
              <w:left w:w="90" w:type="dxa"/>
              <w:bottom w:w="80" w:type="dxa"/>
              <w:right w:w="90" w:type="dxa"/>
            </w:tcMar>
          </w:tcPr>
          <w:p w14:paraId="78E0F170" w14:textId="77777777">
            <w:pPr>
              <w:spacing w:after="0" w:line="240" w:lineRule="auto"/>
              <w:rPr>
                <w:rFonts w:asciiTheme="minorHAnsi" w:hAnsiTheme="minorHAnsi"/>
                <w:sz w:val="20"/>
                <w:szCs w:val="20"/>
              </w:rPr>
            </w:pPr>
            <w:r>
              <w:rPr>
                <w:rFonts w:asciiTheme="minorHAnsi" w:eastAsia="Arial" w:hAnsiTheme="minorHAnsi" w:cs="Arial"/>
                <w:sz w:val="20"/>
                <w:szCs w:val="20"/>
              </w:rPr>
              <w:t>Restricts when live paper may be loaded; enforces session duration</w:t>
            </w:r>
          </w:p>
        </w:tc>
        <w:tc>
          <w:tcPr>
            <w:tcW w:w="3672" w:type="dxa"/>
            <w:tcMar>
              <w:top w:w="80" w:type="dxa"/>
              <w:left w:w="90" w:type="dxa"/>
              <w:bottom w:w="80" w:type="dxa"/>
              <w:right w:w="90" w:type="dxa"/>
            </w:tcMar>
            <w:vAlign w:val="center"/>
          </w:tcPr>
          <w:p w14:paraId="689B40FC" w14:textId="77777777">
            <w:pPr>
              <w:spacing w:after="0" w:line="240" w:lineRule="auto"/>
              <w:rPr>
                <w:rFonts w:asciiTheme="minorHAnsi" w:hAnsiTheme="minorHAnsi"/>
                <w:sz w:val="20"/>
                <w:szCs w:val="20"/>
              </w:rPr>
            </w:pPr>
            <w:r>
              <w:rPr>
                <w:rFonts w:asciiTheme="minorHAnsi" w:eastAsia="Arial" w:hAnsiTheme="minorHAnsi" w:cs="Arial"/>
                <w:sz w:val="20"/>
                <w:szCs w:val="20"/>
              </w:rPr>
              <w:t>Implemented exam-window and 120-minute timing control</w:t>
            </w:r>
          </w:p>
        </w:tc>
      </w:tr>
      <w:tr w14:paraId="46577C9B" w14:textId="77777777">
        <w:trPr>
          <w:jc w:val="center"/>
        </w:trPr>
        <w:tc>
          <w:tcPr>
            <w:tcW w:w="1440" w:type="dxa"/>
            <w:shd w:val="clear" w:color="auto" w:fill="F3F6FB"/>
            <w:tcMar>
              <w:top w:w="80" w:type="dxa"/>
              <w:left w:w="90" w:type="dxa"/>
              <w:bottom w:w="80" w:type="dxa"/>
              <w:right w:w="90" w:type="dxa"/>
            </w:tcMar>
          </w:tcPr>
          <w:p w14:paraId="0092E966" w14:textId="77777777">
            <w:pPr>
              <w:spacing w:after="0" w:line="240" w:lineRule="auto"/>
              <w:rPr>
                <w:rFonts w:asciiTheme="minorHAnsi" w:hAnsiTheme="minorHAnsi"/>
                <w:sz w:val="20"/>
                <w:szCs w:val="20"/>
              </w:rPr>
            </w:pPr>
            <w:r>
              <w:rPr>
                <w:rFonts w:asciiTheme="minorHAnsi" w:eastAsia="Arial" w:hAnsiTheme="minorHAnsi" w:cs="Arial"/>
                <w:sz w:val="20"/>
                <w:szCs w:val="20"/>
              </w:rPr>
              <w:t>Assessment engine</w:t>
            </w:r>
          </w:p>
        </w:tc>
        <w:tc>
          <w:tcPr>
            <w:tcW w:w="2088" w:type="dxa"/>
            <w:shd w:val="clear" w:color="auto" w:fill="F3F6FB"/>
            <w:tcMar>
              <w:top w:w="80" w:type="dxa"/>
              <w:left w:w="90" w:type="dxa"/>
              <w:bottom w:w="80" w:type="dxa"/>
              <w:right w:w="90" w:type="dxa"/>
            </w:tcMar>
            <w:vAlign w:val="center"/>
          </w:tcPr>
          <w:p w14:paraId="1F10A07C" w14:textId="77777777">
            <w:pPr>
              <w:spacing w:after="0" w:line="240" w:lineRule="auto"/>
              <w:rPr>
                <w:rFonts w:asciiTheme="minorHAnsi" w:hAnsiTheme="minorHAnsi"/>
                <w:sz w:val="20"/>
                <w:szCs w:val="20"/>
              </w:rPr>
            </w:pPr>
            <w:r>
              <w:rPr>
                <w:rFonts w:asciiTheme="minorHAnsi" w:eastAsia="Arial" w:hAnsiTheme="minorHAnsi" w:cs="Arial"/>
                <w:sz w:val="20"/>
                <w:szCs w:val="20"/>
              </w:rPr>
              <w:t>Subject filtering + random sampling without replacement</w:t>
            </w:r>
          </w:p>
        </w:tc>
        <w:tc>
          <w:tcPr>
            <w:tcW w:w="3024" w:type="dxa"/>
            <w:shd w:val="clear" w:color="auto" w:fill="F3F6FB"/>
            <w:tcMar>
              <w:top w:w="80" w:type="dxa"/>
              <w:left w:w="90" w:type="dxa"/>
              <w:bottom w:w="80" w:type="dxa"/>
              <w:right w:w="90" w:type="dxa"/>
            </w:tcMar>
          </w:tcPr>
          <w:p w14:paraId="5BE971E3" w14:textId="77777777">
            <w:pPr>
              <w:spacing w:after="0" w:line="240" w:lineRule="auto"/>
              <w:rPr>
                <w:rFonts w:asciiTheme="minorHAnsi" w:hAnsiTheme="minorHAnsi"/>
                <w:sz w:val="20"/>
                <w:szCs w:val="20"/>
              </w:rPr>
            </w:pPr>
            <w:r>
              <w:rPr>
                <w:rFonts w:asciiTheme="minorHAnsi" w:eastAsia="Arial" w:hAnsiTheme="minorHAnsi" w:cs="Arial"/>
                <w:sz w:val="20"/>
                <w:szCs w:val="20"/>
              </w:rPr>
              <w:t>Constructs individualized 70-item papers from a 500-item bank</w:t>
            </w:r>
          </w:p>
        </w:tc>
        <w:tc>
          <w:tcPr>
            <w:tcW w:w="3672" w:type="dxa"/>
            <w:shd w:val="clear" w:color="auto" w:fill="F3F6FB"/>
            <w:tcMar>
              <w:top w:w="80" w:type="dxa"/>
              <w:left w:w="90" w:type="dxa"/>
              <w:bottom w:w="80" w:type="dxa"/>
              <w:right w:w="90" w:type="dxa"/>
            </w:tcMar>
            <w:vAlign w:val="center"/>
          </w:tcPr>
          <w:p w14:paraId="25C309B0" w14:textId="77777777">
            <w:pPr>
              <w:spacing w:after="0" w:line="240" w:lineRule="auto"/>
              <w:rPr>
                <w:rFonts w:asciiTheme="minorHAnsi" w:hAnsiTheme="minorHAnsi"/>
                <w:sz w:val="20"/>
                <w:szCs w:val="20"/>
              </w:rPr>
            </w:pPr>
            <w:r>
              <w:rPr>
                <w:rFonts w:asciiTheme="minorHAnsi" w:eastAsia="Arial" w:hAnsiTheme="minorHAnsi" w:cs="Arial"/>
                <w:sz w:val="20"/>
                <w:szCs w:val="20"/>
              </w:rPr>
              <w:t>Implemented 500-item bank with 70-item sampling</w:t>
            </w:r>
          </w:p>
        </w:tc>
      </w:tr>
      <w:tr w14:paraId="3C22E2F4" w14:textId="77777777">
        <w:trPr>
          <w:jc w:val="center"/>
        </w:trPr>
        <w:tc>
          <w:tcPr>
            <w:tcW w:w="1440" w:type="dxa"/>
            <w:tcMar>
              <w:top w:w="80" w:type="dxa"/>
              <w:left w:w="90" w:type="dxa"/>
              <w:bottom w:w="80" w:type="dxa"/>
              <w:right w:w="90" w:type="dxa"/>
            </w:tcMar>
          </w:tcPr>
          <w:p w14:paraId="25540DB8" w14:textId="77777777">
            <w:pPr>
              <w:spacing w:after="0" w:line="240" w:lineRule="auto"/>
              <w:rPr>
                <w:rFonts w:asciiTheme="minorHAnsi" w:hAnsiTheme="minorHAnsi"/>
                <w:sz w:val="20"/>
                <w:szCs w:val="20"/>
              </w:rPr>
            </w:pPr>
            <w:r>
              <w:rPr>
                <w:rFonts w:asciiTheme="minorHAnsi" w:eastAsia="Arial" w:hAnsiTheme="minorHAnsi" w:cs="Arial"/>
                <w:sz w:val="20"/>
                <w:szCs w:val="20"/>
              </w:rPr>
              <w:t>Scoring</w:t>
            </w:r>
          </w:p>
        </w:tc>
        <w:tc>
          <w:tcPr>
            <w:tcW w:w="2088" w:type="dxa"/>
            <w:tcMar>
              <w:top w:w="80" w:type="dxa"/>
              <w:left w:w="90" w:type="dxa"/>
              <w:bottom w:w="80" w:type="dxa"/>
              <w:right w:w="90" w:type="dxa"/>
            </w:tcMar>
          </w:tcPr>
          <w:p w14:paraId="249F034B" w14:textId="77777777">
            <w:pPr>
              <w:spacing w:after="0" w:line="240" w:lineRule="auto"/>
              <w:rPr>
                <w:rFonts w:asciiTheme="minorHAnsi" w:hAnsiTheme="minorHAnsi"/>
                <w:sz w:val="20"/>
                <w:szCs w:val="20"/>
              </w:rPr>
            </w:pPr>
            <w:r>
              <w:rPr>
                <w:rFonts w:asciiTheme="minorHAnsi" w:eastAsia="Arial" w:hAnsiTheme="minorHAnsi" w:cs="Arial"/>
                <w:sz w:val="20"/>
                <w:szCs w:val="20"/>
              </w:rPr>
              <w:t>Automatic objective-item marking</w:t>
            </w:r>
          </w:p>
        </w:tc>
        <w:tc>
          <w:tcPr>
            <w:tcW w:w="3024" w:type="dxa"/>
            <w:tcMar>
              <w:top w:w="80" w:type="dxa"/>
              <w:left w:w="90" w:type="dxa"/>
              <w:bottom w:w="80" w:type="dxa"/>
              <w:right w:w="90" w:type="dxa"/>
            </w:tcMar>
            <w:vAlign w:val="center"/>
          </w:tcPr>
          <w:p w14:paraId="034E179C" w14:textId="77777777">
            <w:pPr>
              <w:spacing w:after="0" w:line="240" w:lineRule="auto"/>
              <w:rPr>
                <w:rFonts w:asciiTheme="minorHAnsi" w:hAnsiTheme="minorHAnsi"/>
                <w:sz w:val="20"/>
                <w:szCs w:val="20"/>
              </w:rPr>
            </w:pPr>
            <w:r>
              <w:rPr>
                <w:rFonts w:asciiTheme="minorHAnsi" w:eastAsia="Arial" w:hAnsiTheme="minorHAnsi" w:cs="Arial"/>
                <w:sz w:val="20"/>
                <w:szCs w:val="20"/>
              </w:rPr>
              <w:t>Automates objective-item marking and result computation</w:t>
            </w:r>
          </w:p>
        </w:tc>
        <w:tc>
          <w:tcPr>
            <w:tcW w:w="3672" w:type="dxa"/>
            <w:tcMar>
              <w:top w:w="80" w:type="dxa"/>
              <w:left w:w="90" w:type="dxa"/>
              <w:bottom w:w="80" w:type="dxa"/>
              <w:right w:w="90" w:type="dxa"/>
            </w:tcMar>
            <w:vAlign w:val="center"/>
          </w:tcPr>
          <w:p w14:paraId="65EC7A76" w14:textId="77777777">
            <w:pPr>
              <w:spacing w:after="0" w:line="240" w:lineRule="auto"/>
              <w:rPr>
                <w:rFonts w:asciiTheme="minorHAnsi" w:hAnsiTheme="minorHAnsi"/>
                <w:sz w:val="20"/>
                <w:szCs w:val="20"/>
              </w:rPr>
            </w:pPr>
            <w:r>
              <w:rPr>
                <w:rFonts w:asciiTheme="minorHAnsi" w:eastAsia="Arial" w:hAnsiTheme="minorHAnsi" w:cs="Arial"/>
                <w:sz w:val="20"/>
                <w:szCs w:val="20"/>
              </w:rPr>
              <w:t>Implemented automatic objective scoring</w:t>
            </w:r>
          </w:p>
        </w:tc>
      </w:tr>
      <w:tr w14:paraId="4D166090" w14:textId="77777777">
        <w:trPr>
          <w:jc w:val="center"/>
        </w:trPr>
        <w:tc>
          <w:tcPr>
            <w:tcW w:w="1440" w:type="dxa"/>
            <w:shd w:val="clear" w:color="auto" w:fill="F3F6FB"/>
            <w:tcMar>
              <w:top w:w="80" w:type="dxa"/>
              <w:left w:w="90" w:type="dxa"/>
              <w:bottom w:w="80" w:type="dxa"/>
              <w:right w:w="90" w:type="dxa"/>
            </w:tcMar>
          </w:tcPr>
          <w:p w14:paraId="21696C34" w14:textId="77777777">
            <w:pPr>
              <w:spacing w:after="0" w:line="240" w:lineRule="auto"/>
              <w:rPr>
                <w:rFonts w:asciiTheme="minorHAnsi" w:hAnsiTheme="minorHAnsi"/>
                <w:sz w:val="20"/>
                <w:szCs w:val="20"/>
              </w:rPr>
            </w:pPr>
            <w:r>
              <w:rPr>
                <w:rFonts w:asciiTheme="minorHAnsi" w:eastAsia="Arial" w:hAnsiTheme="minorHAnsi" w:cs="Arial"/>
                <w:sz w:val="20"/>
                <w:szCs w:val="20"/>
              </w:rPr>
              <w:t>Administration</w:t>
            </w:r>
          </w:p>
        </w:tc>
        <w:tc>
          <w:tcPr>
            <w:tcW w:w="2088" w:type="dxa"/>
            <w:shd w:val="clear" w:color="auto" w:fill="F3F6FB"/>
            <w:tcMar>
              <w:top w:w="80" w:type="dxa"/>
              <w:left w:w="90" w:type="dxa"/>
              <w:bottom w:w="80" w:type="dxa"/>
              <w:right w:w="90" w:type="dxa"/>
            </w:tcMar>
          </w:tcPr>
          <w:p w14:paraId="6468DE41" w14:textId="77777777">
            <w:pPr>
              <w:spacing w:after="0" w:line="240" w:lineRule="auto"/>
              <w:rPr>
                <w:rFonts w:asciiTheme="minorHAnsi" w:hAnsiTheme="minorHAnsi"/>
                <w:sz w:val="20"/>
                <w:szCs w:val="20"/>
              </w:rPr>
            </w:pPr>
            <w:r>
              <w:rPr>
                <w:rFonts w:asciiTheme="minorHAnsi" w:eastAsia="Arial" w:hAnsiTheme="minorHAnsi" w:cs="Arial"/>
                <w:sz w:val="20"/>
                <w:szCs w:val="20"/>
              </w:rPr>
              <w:t>Exam officer console</w:t>
            </w:r>
          </w:p>
        </w:tc>
        <w:tc>
          <w:tcPr>
            <w:tcW w:w="3024" w:type="dxa"/>
            <w:shd w:val="clear" w:color="auto" w:fill="F3F6FB"/>
            <w:tcMar>
              <w:top w:w="80" w:type="dxa"/>
              <w:left w:w="90" w:type="dxa"/>
              <w:bottom w:w="80" w:type="dxa"/>
              <w:right w:w="90" w:type="dxa"/>
            </w:tcMar>
            <w:vAlign w:val="center"/>
          </w:tcPr>
          <w:p w14:paraId="26235BE0" w14:textId="77777777">
            <w:pPr>
              <w:spacing w:after="0" w:line="240" w:lineRule="auto"/>
              <w:rPr>
                <w:rFonts w:asciiTheme="minorHAnsi" w:hAnsiTheme="minorHAnsi"/>
                <w:sz w:val="20"/>
                <w:szCs w:val="20"/>
              </w:rPr>
            </w:pPr>
            <w:r>
              <w:rPr>
                <w:rFonts w:asciiTheme="minorHAnsi" w:eastAsia="Arial" w:hAnsiTheme="minorHAnsi" w:cs="Arial"/>
                <w:sz w:val="20"/>
                <w:szCs w:val="20"/>
              </w:rPr>
              <w:t>Manages examination windows, candidate status, results, and incident records</w:t>
            </w:r>
          </w:p>
        </w:tc>
        <w:tc>
          <w:tcPr>
            <w:tcW w:w="3672" w:type="dxa"/>
            <w:shd w:val="clear" w:color="auto" w:fill="F3F6FB"/>
            <w:tcMar>
              <w:top w:w="80" w:type="dxa"/>
              <w:left w:w="90" w:type="dxa"/>
              <w:bottom w:w="80" w:type="dxa"/>
              <w:right w:w="90" w:type="dxa"/>
            </w:tcMar>
            <w:vAlign w:val="center"/>
          </w:tcPr>
          <w:p w14:paraId="3588684F" w14:textId="77777777">
            <w:pPr>
              <w:spacing w:after="0" w:line="240" w:lineRule="auto"/>
              <w:rPr>
                <w:rFonts w:asciiTheme="minorHAnsi" w:hAnsiTheme="minorHAnsi"/>
                <w:sz w:val="20"/>
                <w:szCs w:val="20"/>
              </w:rPr>
            </w:pPr>
            <w:r>
              <w:rPr>
                <w:rFonts w:asciiTheme="minorHAnsi" w:eastAsia="Arial" w:hAnsiTheme="minorHAnsi" w:cs="Arial"/>
                <w:sz w:val="20"/>
                <w:szCs w:val="20"/>
              </w:rPr>
              <w:t>Implemented examination-officer control functions</w:t>
            </w:r>
          </w:p>
        </w:tc>
      </w:tr>
      <w:tr w14:paraId="21EDAC98" w14:textId="77777777">
        <w:trPr>
          <w:jc w:val="center"/>
        </w:trPr>
        <w:tc>
          <w:tcPr>
            <w:tcW w:w="1440" w:type="dxa"/>
            <w:tcMar>
              <w:top w:w="80" w:type="dxa"/>
              <w:left w:w="90" w:type="dxa"/>
              <w:bottom w:w="80" w:type="dxa"/>
              <w:right w:w="90" w:type="dxa"/>
            </w:tcMar>
          </w:tcPr>
          <w:p w14:paraId="6E834130" w14:textId="77777777">
            <w:pPr>
              <w:spacing w:after="0" w:line="240" w:lineRule="auto"/>
              <w:rPr>
                <w:rFonts w:asciiTheme="minorHAnsi" w:hAnsiTheme="minorHAnsi"/>
                <w:sz w:val="20"/>
                <w:szCs w:val="20"/>
              </w:rPr>
            </w:pPr>
            <w:r>
              <w:rPr>
                <w:rFonts w:asciiTheme="minorHAnsi" w:eastAsia="Arial" w:hAnsiTheme="minorHAnsi" w:cs="Arial"/>
                <w:sz w:val="20"/>
                <w:szCs w:val="20"/>
              </w:rPr>
              <w:lastRenderedPageBreak/>
              <w:t>Security technique</w:t>
            </w:r>
          </w:p>
        </w:tc>
        <w:tc>
          <w:tcPr>
            <w:tcW w:w="2088" w:type="dxa"/>
            <w:tcMar>
              <w:top w:w="80" w:type="dxa"/>
              <w:left w:w="90" w:type="dxa"/>
              <w:bottom w:w="80" w:type="dxa"/>
              <w:right w:w="90" w:type="dxa"/>
            </w:tcMar>
          </w:tcPr>
          <w:p w14:paraId="3C68B637" w14:textId="77777777">
            <w:pPr>
              <w:spacing w:after="0" w:line="240" w:lineRule="auto"/>
              <w:rPr>
                <w:rFonts w:asciiTheme="minorHAnsi" w:hAnsiTheme="minorHAnsi"/>
                <w:sz w:val="20"/>
                <w:szCs w:val="20"/>
              </w:rPr>
            </w:pPr>
            <w:r>
              <w:rPr>
                <w:rFonts w:asciiTheme="minorHAnsi" w:eastAsia="Arial" w:hAnsiTheme="minorHAnsi" w:cs="Arial"/>
                <w:sz w:val="20"/>
                <w:szCs w:val="20"/>
              </w:rPr>
              <w:t>Per-candidate form randomization</w:t>
            </w:r>
          </w:p>
        </w:tc>
        <w:tc>
          <w:tcPr>
            <w:tcW w:w="3024" w:type="dxa"/>
            <w:tcMar>
              <w:top w:w="80" w:type="dxa"/>
              <w:left w:w="90" w:type="dxa"/>
              <w:bottom w:w="80" w:type="dxa"/>
              <w:right w:w="90" w:type="dxa"/>
            </w:tcMar>
          </w:tcPr>
          <w:p w14:paraId="1823257D" w14:textId="77777777">
            <w:pPr>
              <w:spacing w:after="0" w:line="240" w:lineRule="auto"/>
              <w:rPr>
                <w:rFonts w:asciiTheme="minorHAnsi" w:hAnsiTheme="minorHAnsi"/>
                <w:sz w:val="20"/>
                <w:szCs w:val="20"/>
              </w:rPr>
            </w:pPr>
            <w:r>
              <w:rPr>
                <w:rFonts w:asciiTheme="minorHAnsi" w:eastAsia="Arial" w:hAnsiTheme="minorHAnsi" w:cs="Arial"/>
                <w:sz w:val="20"/>
                <w:szCs w:val="20"/>
              </w:rPr>
              <w:t>Reduces value of adjacent answer copying and fixed-form leakage</w:t>
            </w:r>
          </w:p>
        </w:tc>
        <w:tc>
          <w:tcPr>
            <w:tcW w:w="3672" w:type="dxa"/>
            <w:tcMar>
              <w:top w:w="80" w:type="dxa"/>
              <w:left w:w="90" w:type="dxa"/>
              <w:bottom w:w="80" w:type="dxa"/>
              <w:right w:w="90" w:type="dxa"/>
            </w:tcMar>
            <w:vAlign w:val="center"/>
          </w:tcPr>
          <w:p w14:paraId="1761E728" w14:textId="77777777">
            <w:pPr>
              <w:spacing w:after="0" w:line="240" w:lineRule="auto"/>
              <w:rPr>
                <w:rFonts w:asciiTheme="minorHAnsi" w:hAnsiTheme="minorHAnsi"/>
                <w:sz w:val="20"/>
                <w:szCs w:val="20"/>
              </w:rPr>
            </w:pPr>
            <w:r>
              <w:rPr>
                <w:rFonts w:asciiTheme="minorHAnsi" w:eastAsia="Arial" w:hAnsiTheme="minorHAnsi" w:cs="Arial"/>
                <w:sz w:val="20"/>
                <w:szCs w:val="20"/>
              </w:rPr>
              <w:t>Implemented and quantitatively evaluated</w:t>
            </w:r>
          </w:p>
        </w:tc>
      </w:tr>
      <w:tr w14:paraId="52162465" w14:textId="77777777">
        <w:trPr>
          <w:jc w:val="center"/>
        </w:trPr>
        <w:tc>
          <w:tcPr>
            <w:tcW w:w="1440" w:type="dxa"/>
            <w:shd w:val="clear" w:color="auto" w:fill="F3F6FB"/>
            <w:tcMar>
              <w:top w:w="80" w:type="dxa"/>
              <w:left w:w="90" w:type="dxa"/>
              <w:bottom w:w="80" w:type="dxa"/>
              <w:right w:w="90" w:type="dxa"/>
            </w:tcMar>
            <w:vAlign w:val="center"/>
          </w:tcPr>
          <w:p w14:paraId="36030C80" w14:textId="77777777">
            <w:pPr>
              <w:spacing w:after="0" w:line="240" w:lineRule="auto"/>
              <w:rPr>
                <w:rFonts w:asciiTheme="minorHAnsi" w:hAnsiTheme="minorHAnsi"/>
                <w:sz w:val="20"/>
                <w:szCs w:val="20"/>
              </w:rPr>
            </w:pPr>
            <w:r>
              <w:rPr>
                <w:rFonts w:asciiTheme="minorHAnsi" w:eastAsia="Arial" w:hAnsiTheme="minorHAnsi" w:cs="Arial"/>
                <w:sz w:val="20"/>
                <w:szCs w:val="20"/>
              </w:rPr>
              <w:t>Security hardening</w:t>
            </w:r>
          </w:p>
        </w:tc>
        <w:tc>
          <w:tcPr>
            <w:tcW w:w="2088" w:type="dxa"/>
            <w:shd w:val="clear" w:color="auto" w:fill="F3F6FB"/>
            <w:tcMar>
              <w:top w:w="80" w:type="dxa"/>
              <w:left w:w="90" w:type="dxa"/>
              <w:bottom w:w="80" w:type="dxa"/>
              <w:right w:w="90" w:type="dxa"/>
            </w:tcMar>
            <w:vAlign w:val="center"/>
          </w:tcPr>
          <w:p w14:paraId="2E0356B4" w14:textId="77777777">
            <w:pPr>
              <w:spacing w:after="0" w:line="240" w:lineRule="auto"/>
              <w:rPr>
                <w:rFonts w:asciiTheme="minorHAnsi" w:hAnsiTheme="minorHAnsi"/>
                <w:sz w:val="20"/>
                <w:szCs w:val="20"/>
              </w:rPr>
            </w:pPr>
            <w:r>
              <w:rPr>
                <w:rFonts w:asciiTheme="minorHAnsi" w:eastAsia="Arial" w:hAnsiTheme="minorHAnsi" w:cs="Arial"/>
                <w:sz w:val="20"/>
                <w:szCs w:val="20"/>
              </w:rPr>
              <w:t>Cryptographically secure PRNG; TLS; server-side authorization; rate limiting; immutable logs</w:t>
            </w:r>
          </w:p>
        </w:tc>
        <w:tc>
          <w:tcPr>
            <w:tcW w:w="3024" w:type="dxa"/>
            <w:shd w:val="clear" w:color="auto" w:fill="F3F6FB"/>
            <w:tcMar>
              <w:top w:w="80" w:type="dxa"/>
              <w:left w:w="90" w:type="dxa"/>
              <w:bottom w:w="80" w:type="dxa"/>
              <w:right w:w="90" w:type="dxa"/>
            </w:tcMar>
            <w:vAlign w:val="center"/>
          </w:tcPr>
          <w:p w14:paraId="512206D0" w14:textId="77777777">
            <w:pPr>
              <w:spacing w:after="0" w:line="240" w:lineRule="auto"/>
              <w:rPr>
                <w:rFonts w:asciiTheme="minorHAnsi" w:hAnsiTheme="minorHAnsi"/>
                <w:sz w:val="20"/>
                <w:szCs w:val="20"/>
              </w:rPr>
            </w:pPr>
            <w:r>
              <w:rPr>
                <w:rFonts w:asciiTheme="minorHAnsi" w:eastAsia="Arial" w:hAnsiTheme="minorHAnsi" w:cs="Arial"/>
                <w:sz w:val="20"/>
                <w:szCs w:val="20"/>
              </w:rPr>
              <w:t>Strengthens unpredictability, confidentiality, authorization, and auditability for higher-stakes use</w:t>
            </w:r>
          </w:p>
        </w:tc>
        <w:tc>
          <w:tcPr>
            <w:tcW w:w="3672" w:type="dxa"/>
            <w:shd w:val="clear" w:color="auto" w:fill="F3F6FB"/>
            <w:tcMar>
              <w:top w:w="80" w:type="dxa"/>
              <w:left w:w="90" w:type="dxa"/>
              <w:bottom w:w="80" w:type="dxa"/>
              <w:right w:w="90" w:type="dxa"/>
            </w:tcMar>
            <w:vAlign w:val="center"/>
          </w:tcPr>
          <w:p w14:paraId="216C4815" w14:textId="77777777">
            <w:pPr>
              <w:spacing w:after="0" w:line="240" w:lineRule="auto"/>
              <w:rPr>
                <w:rFonts w:asciiTheme="minorHAnsi" w:hAnsiTheme="minorHAnsi"/>
                <w:sz w:val="20"/>
                <w:szCs w:val="20"/>
              </w:rPr>
            </w:pPr>
            <w:r>
              <w:rPr>
                <w:rFonts w:asciiTheme="minorHAnsi" w:eastAsia="Arial" w:hAnsiTheme="minorHAnsi" w:cs="Arial"/>
                <w:sz w:val="20"/>
                <w:szCs w:val="20"/>
              </w:rPr>
              <w:t>Recommended for higher-stakes scaling</w:t>
            </w:r>
          </w:p>
        </w:tc>
      </w:tr>
    </w:tbl>
    <w:p w14:paraId="367F1D92" w14:textId="77777777">
      <w:pPr>
        <w:pStyle w:val="Caption"/>
        <w:spacing w:after="0"/>
        <w:rPr>
          <w:rFonts w:asciiTheme="minorHAnsi" w:hAnsiTheme="minorHAnsi"/>
          <w:sz w:val="20"/>
          <w:szCs w:val="20"/>
        </w:rPr>
      </w:pPr>
      <w:r>
        <w:rPr>
          <w:rFonts w:asciiTheme="minorHAnsi" w:eastAsia="Arial" w:hAnsiTheme="minorHAnsi" w:cs="Arial"/>
          <w:i w:val="0"/>
          <w:sz w:val="20"/>
          <w:szCs w:val="20"/>
        </w:rPr>
        <w:t>Table 3. Technologies, tools, techniques, and control functions in the CACGWA portal architecture.</w:t>
      </w:r>
    </w:p>
    <w:p w14:paraId="459E2C93" w14:textId="77777777">
      <w:pPr>
        <w:pStyle w:val="Heading1"/>
        <w:spacing w:after="0"/>
        <w:rPr>
          <w:rFonts w:asciiTheme="minorHAnsi" w:hAnsiTheme="minorHAnsi"/>
          <w:sz w:val="20"/>
          <w:szCs w:val="20"/>
        </w:rPr>
      </w:pPr>
      <w:r>
        <w:rPr>
          <w:rFonts w:asciiTheme="minorHAnsi" w:hAnsiTheme="minorHAnsi"/>
          <w:sz w:val="20"/>
          <w:szCs w:val="20"/>
        </w:rPr>
        <w:t>4.3 Live examination transaction</w:t>
      </w:r>
    </w:p>
    <w:p w14:paraId="6020E8A1" w14:textId="77777777">
      <w:pPr>
        <w:spacing w:after="0"/>
        <w:rPr>
          <w:rFonts w:asciiTheme="minorHAnsi" w:hAnsiTheme="minorHAnsi"/>
          <w:sz w:val="20"/>
          <w:szCs w:val="20"/>
        </w:rPr>
      </w:pPr>
      <w:r>
        <w:rPr>
          <w:rFonts w:asciiTheme="minorHAnsi" w:eastAsia="Arial" w:hAnsiTheme="minorHAnsi" w:cs="Arial"/>
          <w:noProof/>
          <w:sz w:val="20"/>
          <w:szCs w:val="20"/>
        </w:rPr>
        <w:drawing>
          <wp:inline distT="0" distB="0" distL="0" distR="0" wp14:anchorId="21BA9036" wp14:editId="0D3B1A59">
            <wp:extent cx="6217920" cy="2760670"/>
            <wp:effectExtent l="0" t="0" r="0" b="0"/>
            <wp:docPr id="2" name="Picture 2" descr="Student profile and class, PIN validation, examination window check, loading of 500-item bank, selection of 70 unique items, timed presentation, submission/scoring and audit/result recording." title="Live CB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14"/>
                    <a:stretch>
                      <a:fillRect/>
                    </a:stretch>
                  </pic:blipFill>
                  <pic:spPr>
                    <a:xfrm>
                      <a:off x="0" y="0"/>
                      <a:ext cx="6217920" cy="2760670"/>
                    </a:xfrm>
                    <a:prstGeom prst="rect">
                      <a:avLst/>
                    </a:prstGeom>
                  </pic:spPr>
                </pic:pic>
              </a:graphicData>
            </a:graphic>
          </wp:inline>
        </w:drawing>
      </w:r>
    </w:p>
    <w:p w14:paraId="69895189" w14:textId="77777777">
      <w:pPr>
        <w:pStyle w:val="Caption"/>
        <w:spacing w:after="0"/>
        <w:rPr>
          <w:rFonts w:asciiTheme="minorHAnsi" w:hAnsiTheme="minorHAnsi"/>
          <w:sz w:val="20"/>
          <w:szCs w:val="20"/>
        </w:rPr>
      </w:pPr>
      <w:r>
        <w:rPr>
          <w:rFonts w:asciiTheme="minorHAnsi" w:eastAsia="Arial" w:hAnsiTheme="minorHAnsi" w:cs="Arial"/>
          <w:sz w:val="20"/>
          <w:szCs w:val="20"/>
        </w:rPr>
        <w:t>Figure 2. Live examination workflow and candidate-specific randomized paper assembly.</w:t>
      </w:r>
    </w:p>
    <w:p w14:paraId="5409E7EF" w14:textId="77777777">
      <w:pPr>
        <w:pStyle w:val="Heading1"/>
        <w:spacing w:after="0"/>
        <w:rPr>
          <w:rFonts w:asciiTheme="minorHAnsi" w:hAnsiTheme="minorHAnsi"/>
          <w:sz w:val="20"/>
          <w:szCs w:val="20"/>
        </w:rPr>
      </w:pPr>
      <w:r>
        <w:rPr>
          <w:rFonts w:asciiTheme="minorHAnsi" w:hAnsiTheme="minorHAnsi"/>
          <w:sz w:val="20"/>
          <w:szCs w:val="20"/>
        </w:rPr>
        <w:t>4.4 Randomization algorithm</w:t>
      </w:r>
    </w:p>
    <w:p w14:paraId="1B139CA2" w14:textId="77777777">
      <w:pPr>
        <w:spacing w:after="0"/>
        <w:rPr>
          <w:rFonts w:asciiTheme="minorHAnsi" w:hAnsiTheme="minorHAnsi"/>
          <w:sz w:val="20"/>
          <w:szCs w:val="20"/>
        </w:rPr>
      </w:pPr>
      <w:r>
        <w:rPr>
          <w:rFonts w:asciiTheme="minorHAnsi" w:eastAsia="Arial" w:hAnsiTheme="minorHAnsi" w:cs="Arial"/>
          <w:sz w:val="20"/>
          <w:szCs w:val="20"/>
        </w:rPr>
        <w:t>A minimal secure test-assembly procedure is shown below. The important properties are subject scoping, eligibility filtering, without-replacement sampling, server-side persistence of the selected item identifiers for audit/recovery, and a candidate/session binding that prevents re-rolling the paper after the examination begins.</w:t>
      </w:r>
    </w:p>
    <w:tbl>
      <w:tblPr>
        <w:tblW w:w="0" w:type="auto"/>
        <w:tblBorders>
          <w:top w:val="single" w:sz="5" w:space="0" w:color="C6D3E5"/>
          <w:left w:val="single" w:sz="5" w:space="0" w:color="C6D3E5"/>
          <w:bottom w:val="single" w:sz="5" w:space="0" w:color="C6D3E5"/>
          <w:right w:val="single" w:sz="5" w:space="0" w:color="C6D3E5"/>
          <w:insideH w:val="single" w:sz="5" w:space="0" w:color="C6D3E5"/>
          <w:insideV w:val="single" w:sz="5" w:space="0" w:color="C6D3E5"/>
        </w:tblBorders>
        <w:tblLook w:val="04A0" w:firstRow="1" w:lastRow="0" w:firstColumn="1" w:lastColumn="0" w:noHBand="0" w:noVBand="1"/>
      </w:tblPr>
      <w:tblGrid>
        <w:gridCol w:w="9878"/>
      </w:tblGrid>
      <w:tr w14:paraId="191E092F" w14:textId="77777777">
        <w:trPr>
          <w:tblHeader/>
        </w:trPr>
        <w:tc>
          <w:tcPr>
            <w:tcW w:w="9878" w:type="dxa"/>
            <w:shd w:val="clear" w:color="auto" w:fill="F3F6FB"/>
          </w:tcPr>
          <w:p w14:paraId="5A6CC067" w14:textId="77777777">
            <w:pPr>
              <w:spacing w:after="0"/>
              <w:rPr>
                <w:rFonts w:asciiTheme="minorHAnsi" w:hAnsiTheme="minorHAnsi"/>
                <w:sz w:val="20"/>
                <w:szCs w:val="20"/>
              </w:rPr>
            </w:pPr>
            <w:r>
              <w:rPr>
                <w:rFonts w:asciiTheme="minorHAnsi" w:eastAsia="Consolas" w:hAnsiTheme="minorHAnsi" w:cs="Consolas"/>
                <w:sz w:val="20"/>
                <w:szCs w:val="20"/>
              </w:rPr>
              <w:t>01  eligible_items ← QuestionBank.filter(subject = candidate.subject, active = TRUE)</w:t>
            </w:r>
            <w:r>
              <w:rPr>
                <w:rFonts w:asciiTheme="minorHAnsi" w:eastAsia="Consolas" w:hAnsiTheme="minorHAnsi" w:cs="Consolas"/>
                <w:sz w:val="20"/>
                <w:szCs w:val="20"/>
              </w:rPr>
              <w:br/>
              <w:t>02  assert count(eligible_items) ≥ 70</w:t>
            </w:r>
            <w:r>
              <w:rPr>
                <w:rFonts w:asciiTheme="minorHAnsi" w:eastAsia="Consolas" w:hAnsiTheme="minorHAnsi" w:cs="Consolas"/>
                <w:sz w:val="20"/>
                <w:szCs w:val="20"/>
              </w:rPr>
              <w:br/>
              <w:t>03  seed/session_nonce ← secure_random_source()</w:t>
            </w:r>
            <w:r>
              <w:rPr>
                <w:rFonts w:asciiTheme="minorHAnsi" w:eastAsia="Consolas" w:hAnsiTheme="minorHAnsi" w:cs="Consolas"/>
                <w:sz w:val="20"/>
                <w:szCs w:val="20"/>
              </w:rPr>
              <w:br/>
              <w:t>04  selected_ids ← sample_without_replacement(eligible_items, 70, seed/session_nonce)</w:t>
            </w:r>
            <w:r>
              <w:rPr>
                <w:rFonts w:asciiTheme="minorHAnsi" w:eastAsia="Consolas" w:hAnsiTheme="minorHAnsi" w:cs="Consolas"/>
                <w:sz w:val="20"/>
                <w:szCs w:val="20"/>
              </w:rPr>
              <w:br/>
              <w:t>05  save ExamSession(candidate_id, subject, selected_ids, started_at, exam_window_id)</w:t>
            </w:r>
            <w:r>
              <w:rPr>
                <w:rFonts w:asciiTheme="minorHAnsi" w:eastAsia="Consolas" w:hAnsiTheme="minorHAnsi" w:cs="Consolas"/>
                <w:sz w:val="20"/>
                <w:szCs w:val="20"/>
              </w:rPr>
              <w:br/>
              <w:t>06  present items in randomized order; persist responses incrementally</w:t>
            </w:r>
            <w:r>
              <w:rPr>
                <w:rFonts w:asciiTheme="minorHAnsi" w:eastAsia="Consolas" w:hAnsiTheme="minorHAnsi" w:cs="Consolas"/>
                <w:sz w:val="20"/>
                <w:szCs w:val="20"/>
              </w:rPr>
              <w:br/>
              <w:t>07  on submit or timeout: lock session → score keyed objective items → write Result + AuditLog</w:t>
            </w:r>
            <w:r>
              <w:rPr>
                <w:rFonts w:asciiTheme="minorHAnsi" w:eastAsia="Consolas" w:hAnsiTheme="minorHAnsi" w:cs="Consolas"/>
                <w:sz w:val="20"/>
                <w:szCs w:val="20"/>
              </w:rPr>
              <w:br/>
            </w:r>
          </w:p>
        </w:tc>
      </w:tr>
    </w:tbl>
    <w:p w14:paraId="30531AC7" w14:textId="77777777">
      <w:pPr>
        <w:pStyle w:val="Caption"/>
        <w:spacing w:after="0"/>
        <w:rPr>
          <w:rFonts w:asciiTheme="minorHAnsi" w:hAnsiTheme="minorHAnsi"/>
          <w:sz w:val="20"/>
          <w:szCs w:val="20"/>
        </w:rPr>
      </w:pPr>
      <w:r>
        <w:rPr>
          <w:rFonts w:asciiTheme="minorHAnsi" w:eastAsia="Arial" w:hAnsiTheme="minorHAnsi" w:cs="Arial"/>
          <w:sz w:val="20"/>
          <w:szCs w:val="20"/>
        </w:rPr>
        <w:t>Algorithm 1. Reference randomized test-assembly and session-persistence procedure. This pseudocode is implementation-neutral.</w:t>
      </w:r>
    </w:p>
    <w:p w14:paraId="7F3721CD" w14:textId="77777777">
      <w:pPr>
        <w:pStyle w:val="Heading1"/>
        <w:spacing w:after="0"/>
        <w:jc w:val="both"/>
        <w:rPr>
          <w:rFonts w:asciiTheme="minorHAnsi" w:hAnsiTheme="minorHAnsi"/>
          <w:sz w:val="20"/>
          <w:szCs w:val="20"/>
        </w:rPr>
      </w:pPr>
      <w:r>
        <w:rPr>
          <w:rFonts w:asciiTheme="minorHAnsi" w:hAnsiTheme="minorHAnsi"/>
          <w:sz w:val="20"/>
          <w:szCs w:val="20"/>
        </w:rPr>
        <w:t>4.5 Question-bank governance</w:t>
      </w:r>
    </w:p>
    <w:p w14:paraId="0118A9B1" w14:textId="77777777">
      <w:pPr>
        <w:spacing w:after="0"/>
        <w:jc w:val="both"/>
        <w:rPr>
          <w:rFonts w:asciiTheme="minorHAnsi" w:hAnsiTheme="minorHAnsi"/>
          <w:sz w:val="20"/>
          <w:szCs w:val="20"/>
        </w:rPr>
      </w:pPr>
      <w:r>
        <w:rPr>
          <w:rFonts w:asciiTheme="minorHAnsi" w:eastAsia="Arial" w:hAnsiTheme="minorHAnsi" w:cs="Arial"/>
          <w:sz w:val="20"/>
          <w:szCs w:val="20"/>
        </w:rPr>
        <w:t>A large bank increases security only if the items themselves are instructionally valid. For publication-grade use, each subject bank should carry at least: item ID, class, subject, curriculum objective, content domain, cognitive level, stem, options, keyed answer, explanation/rationale where appropriate, media dependency, difficulty estimate when available, item status, author/reviewer, version and last-review date. Duplicate and near-duplicate items should be flagged before activation. High-stakes forms should preferably be assembled with blueprint constraints so every candidate receives equivalent domain coverage rather than purely unconstrained random draws.</w:t>
      </w:r>
    </w:p>
    <w:p w14:paraId="2A32944A" w14:textId="77777777">
      <w:pPr>
        <w:pStyle w:val="Heading1"/>
        <w:spacing w:after="0"/>
        <w:jc w:val="both"/>
        <w:rPr>
          <w:rFonts w:asciiTheme="minorHAnsi" w:hAnsiTheme="minorHAnsi"/>
          <w:sz w:val="20"/>
          <w:szCs w:val="20"/>
        </w:rPr>
      </w:pPr>
      <w:r>
        <w:rPr>
          <w:rFonts w:asciiTheme="minorHAnsi" w:hAnsiTheme="minorHAnsi"/>
          <w:sz w:val="20"/>
          <w:szCs w:val="20"/>
        </w:rPr>
        <w:lastRenderedPageBreak/>
        <w:t>5. Results</w:t>
      </w:r>
    </w:p>
    <w:p w14:paraId="716F9C12" w14:textId="77777777">
      <w:pPr>
        <w:pStyle w:val="Heading1"/>
        <w:spacing w:after="0"/>
        <w:jc w:val="both"/>
        <w:rPr>
          <w:rFonts w:asciiTheme="minorHAnsi" w:hAnsiTheme="minorHAnsi"/>
          <w:sz w:val="20"/>
          <w:szCs w:val="20"/>
        </w:rPr>
      </w:pPr>
      <w:r>
        <w:rPr>
          <w:rFonts w:asciiTheme="minorHAnsi" w:hAnsiTheme="minorHAnsi"/>
          <w:sz w:val="20"/>
          <w:szCs w:val="20"/>
        </w:rPr>
        <w:t>5.1 Operational field validation</w:t>
      </w:r>
    </w:p>
    <w:p w14:paraId="61C344ED" w14:textId="77777777">
      <w:pPr>
        <w:spacing w:after="0"/>
        <w:jc w:val="both"/>
        <w:rPr>
          <w:rFonts w:asciiTheme="minorHAnsi" w:hAnsiTheme="minorHAnsi"/>
          <w:sz w:val="20"/>
          <w:szCs w:val="20"/>
        </w:rPr>
      </w:pPr>
      <w:r>
        <w:rPr>
          <w:rFonts w:asciiTheme="minorHAnsi" w:eastAsia="Arial" w:hAnsiTheme="minorHAnsi" w:cs="Arial"/>
          <w:sz w:val="20"/>
          <w:szCs w:val="20"/>
        </w:rPr>
        <w:t>The CACGWA portal was used as the live examination delivery mechanism during the 2025/2026 end-of-session examinations involving 200 students and 15 examination administrators. Operational validation confirmed candidate authentication, timed examination delivery, individualized paper assembly, automatic objective scoring, submission capture, candidate-status monitoring, and examination-officer oversight. The system performed effectively in the case-school environment and supported the complete revision-to-examination workflow required for the sitting. These field results establish successful operational implementation, while the analytical results below quantify the form-diversity, overlap, and item-exposure properties of the configured 500-to-70 assessment model.</w:t>
      </w:r>
    </w:p>
    <w:p w14:paraId="1B382D5D" w14:textId="77777777">
      <w:pPr>
        <w:pStyle w:val="Heading1"/>
        <w:spacing w:after="0"/>
        <w:rPr>
          <w:rFonts w:asciiTheme="minorHAnsi" w:hAnsiTheme="minorHAnsi"/>
          <w:sz w:val="20"/>
          <w:szCs w:val="20"/>
        </w:rPr>
      </w:pPr>
      <w:r>
        <w:rPr>
          <w:rFonts w:asciiTheme="minorHAnsi" w:hAnsiTheme="minorHAnsi"/>
          <w:sz w:val="20"/>
          <w:szCs w:val="20"/>
        </w:rPr>
        <w:t>5.2 Exact form-space and overlap results</w:t>
      </w:r>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4121"/>
        <w:gridCol w:w="2357"/>
        <w:gridCol w:w="3633"/>
      </w:tblGrid>
      <w:tr w14:paraId="18466CB1" w14:textId="77777777">
        <w:trPr>
          <w:tblHeader/>
          <w:jc w:val="center"/>
        </w:trPr>
        <w:tc>
          <w:tcPr>
            <w:tcW w:w="4176" w:type="dxa"/>
            <w:shd w:val="clear" w:color="auto" w:fill="071A45"/>
            <w:tcMar>
              <w:top w:w="80" w:type="dxa"/>
              <w:left w:w="90" w:type="dxa"/>
              <w:bottom w:w="80" w:type="dxa"/>
              <w:right w:w="90" w:type="dxa"/>
            </w:tcMar>
            <w:vAlign w:val="center"/>
          </w:tcPr>
          <w:p w14:paraId="55310686"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Metric</w:t>
            </w:r>
          </w:p>
        </w:tc>
        <w:tc>
          <w:tcPr>
            <w:tcW w:w="2376" w:type="dxa"/>
            <w:shd w:val="clear" w:color="auto" w:fill="071A45"/>
            <w:tcMar>
              <w:top w:w="80" w:type="dxa"/>
              <w:left w:w="90" w:type="dxa"/>
              <w:bottom w:w="80" w:type="dxa"/>
              <w:right w:w="90" w:type="dxa"/>
            </w:tcMar>
            <w:vAlign w:val="center"/>
          </w:tcPr>
          <w:p w14:paraId="54D4364B"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Value</w:t>
            </w:r>
          </w:p>
        </w:tc>
        <w:tc>
          <w:tcPr>
            <w:tcW w:w="3672" w:type="dxa"/>
            <w:shd w:val="clear" w:color="auto" w:fill="071A45"/>
            <w:tcMar>
              <w:top w:w="80" w:type="dxa"/>
              <w:left w:w="90" w:type="dxa"/>
              <w:bottom w:w="80" w:type="dxa"/>
              <w:right w:w="90" w:type="dxa"/>
            </w:tcMar>
            <w:vAlign w:val="center"/>
          </w:tcPr>
          <w:p w14:paraId="6C33BF7F"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Interpretation</w:t>
            </w:r>
          </w:p>
        </w:tc>
      </w:tr>
      <w:tr w14:paraId="7FFD66A4" w14:textId="77777777">
        <w:trPr>
          <w:jc w:val="center"/>
        </w:trPr>
        <w:tc>
          <w:tcPr>
            <w:tcW w:w="4176" w:type="dxa"/>
            <w:tcMar>
              <w:top w:w="80" w:type="dxa"/>
              <w:left w:w="90" w:type="dxa"/>
              <w:bottom w:w="80" w:type="dxa"/>
              <w:right w:w="90" w:type="dxa"/>
            </w:tcMar>
          </w:tcPr>
          <w:p w14:paraId="60C47806" w14:textId="77777777">
            <w:pPr>
              <w:spacing w:after="0" w:line="240" w:lineRule="auto"/>
              <w:rPr>
                <w:rFonts w:asciiTheme="minorHAnsi" w:hAnsiTheme="minorHAnsi"/>
                <w:sz w:val="20"/>
                <w:szCs w:val="20"/>
              </w:rPr>
            </w:pPr>
            <w:r>
              <w:rPr>
                <w:rFonts w:asciiTheme="minorHAnsi" w:eastAsia="Arial" w:hAnsiTheme="minorHAnsi" w:cs="Arial"/>
                <w:sz w:val="20"/>
                <w:szCs w:val="20"/>
              </w:rPr>
              <w:t>Possible unordered 70-item forms</w:t>
            </w:r>
          </w:p>
        </w:tc>
        <w:tc>
          <w:tcPr>
            <w:tcW w:w="2376" w:type="dxa"/>
            <w:tcMar>
              <w:top w:w="80" w:type="dxa"/>
              <w:left w:w="90" w:type="dxa"/>
              <w:bottom w:w="80" w:type="dxa"/>
              <w:right w:w="90" w:type="dxa"/>
            </w:tcMar>
          </w:tcPr>
          <w:p w14:paraId="6C3D6115" w14:textId="77777777">
            <w:pPr>
              <w:spacing w:after="0" w:line="240" w:lineRule="auto"/>
              <w:rPr>
                <w:rFonts w:asciiTheme="minorHAnsi" w:hAnsiTheme="minorHAnsi"/>
                <w:sz w:val="20"/>
                <w:szCs w:val="20"/>
              </w:rPr>
            </w:pPr>
            <w:r>
              <w:rPr>
                <w:rFonts w:asciiTheme="minorHAnsi" w:eastAsia="Arial" w:hAnsiTheme="minorHAnsi" w:cs="Arial"/>
                <w:sz w:val="20"/>
                <w:szCs w:val="20"/>
              </w:rPr>
              <w:t>4.43901e+86</w:t>
            </w:r>
          </w:p>
        </w:tc>
        <w:tc>
          <w:tcPr>
            <w:tcW w:w="3672" w:type="dxa"/>
            <w:tcMar>
              <w:top w:w="80" w:type="dxa"/>
              <w:left w:w="90" w:type="dxa"/>
              <w:bottom w:w="80" w:type="dxa"/>
              <w:right w:w="90" w:type="dxa"/>
            </w:tcMar>
          </w:tcPr>
          <w:p w14:paraId="09C259D8" w14:textId="77777777">
            <w:pPr>
              <w:spacing w:after="0" w:line="240" w:lineRule="auto"/>
              <w:rPr>
                <w:rFonts w:asciiTheme="minorHAnsi" w:hAnsiTheme="minorHAnsi"/>
                <w:sz w:val="20"/>
                <w:szCs w:val="20"/>
              </w:rPr>
            </w:pPr>
            <w:r>
              <w:rPr>
                <w:rFonts w:asciiTheme="minorHAnsi" w:eastAsia="Arial" w:hAnsiTheme="minorHAnsi" w:cs="Arial"/>
                <w:sz w:val="20"/>
                <w:szCs w:val="20"/>
              </w:rPr>
              <w:t>log10 = 86.647</w:t>
            </w:r>
          </w:p>
        </w:tc>
      </w:tr>
      <w:tr w14:paraId="5BEA2E92" w14:textId="77777777">
        <w:trPr>
          <w:jc w:val="center"/>
        </w:trPr>
        <w:tc>
          <w:tcPr>
            <w:tcW w:w="4176" w:type="dxa"/>
            <w:shd w:val="clear" w:color="auto" w:fill="F3F6FB"/>
            <w:tcMar>
              <w:top w:w="80" w:type="dxa"/>
              <w:left w:w="90" w:type="dxa"/>
              <w:bottom w:w="80" w:type="dxa"/>
              <w:right w:w="90" w:type="dxa"/>
            </w:tcMar>
          </w:tcPr>
          <w:p w14:paraId="3757A41B" w14:textId="77777777">
            <w:pPr>
              <w:spacing w:after="0" w:line="240" w:lineRule="auto"/>
              <w:rPr>
                <w:rFonts w:asciiTheme="minorHAnsi" w:hAnsiTheme="minorHAnsi"/>
                <w:sz w:val="20"/>
                <w:szCs w:val="20"/>
              </w:rPr>
            </w:pPr>
            <w:r>
              <w:rPr>
                <w:rFonts w:asciiTheme="minorHAnsi" w:eastAsia="Arial" w:hAnsiTheme="minorHAnsi" w:cs="Arial"/>
                <w:sz w:val="20"/>
                <w:szCs w:val="20"/>
              </w:rPr>
              <w:t>Probability a particular item appears on one paper</w:t>
            </w:r>
          </w:p>
        </w:tc>
        <w:tc>
          <w:tcPr>
            <w:tcW w:w="2376" w:type="dxa"/>
            <w:shd w:val="clear" w:color="auto" w:fill="F3F6FB"/>
            <w:tcMar>
              <w:top w:w="80" w:type="dxa"/>
              <w:left w:w="90" w:type="dxa"/>
              <w:bottom w:w="80" w:type="dxa"/>
              <w:right w:w="90" w:type="dxa"/>
            </w:tcMar>
          </w:tcPr>
          <w:p w14:paraId="383F6378" w14:textId="77777777">
            <w:pPr>
              <w:spacing w:after="0" w:line="240" w:lineRule="auto"/>
              <w:rPr>
                <w:rFonts w:asciiTheme="minorHAnsi" w:hAnsiTheme="minorHAnsi"/>
                <w:sz w:val="20"/>
                <w:szCs w:val="20"/>
              </w:rPr>
            </w:pPr>
            <w:r>
              <w:rPr>
                <w:rFonts w:asciiTheme="minorHAnsi" w:eastAsia="Arial" w:hAnsiTheme="minorHAnsi" w:cs="Arial"/>
                <w:sz w:val="20"/>
                <w:szCs w:val="20"/>
              </w:rPr>
              <w:t>0.140</w:t>
            </w:r>
          </w:p>
        </w:tc>
        <w:tc>
          <w:tcPr>
            <w:tcW w:w="3672" w:type="dxa"/>
            <w:shd w:val="clear" w:color="auto" w:fill="F3F6FB"/>
            <w:tcMar>
              <w:top w:w="80" w:type="dxa"/>
              <w:left w:w="90" w:type="dxa"/>
              <w:bottom w:w="80" w:type="dxa"/>
              <w:right w:w="90" w:type="dxa"/>
            </w:tcMar>
          </w:tcPr>
          <w:p w14:paraId="72D7CD41" w14:textId="77777777">
            <w:pPr>
              <w:spacing w:after="0" w:line="240" w:lineRule="auto"/>
              <w:rPr>
                <w:rFonts w:asciiTheme="minorHAnsi" w:hAnsiTheme="minorHAnsi"/>
                <w:sz w:val="20"/>
                <w:szCs w:val="20"/>
              </w:rPr>
            </w:pPr>
            <w:r>
              <w:rPr>
                <w:rFonts w:asciiTheme="minorHAnsi" w:eastAsia="Arial" w:hAnsiTheme="minorHAnsi" w:cs="Arial"/>
                <w:sz w:val="20"/>
                <w:szCs w:val="20"/>
              </w:rPr>
              <w:t>14.0%</w:t>
            </w:r>
          </w:p>
        </w:tc>
      </w:tr>
      <w:tr w14:paraId="6B68EBF0" w14:textId="77777777">
        <w:trPr>
          <w:jc w:val="center"/>
        </w:trPr>
        <w:tc>
          <w:tcPr>
            <w:tcW w:w="4176" w:type="dxa"/>
            <w:tcMar>
              <w:top w:w="80" w:type="dxa"/>
              <w:left w:w="90" w:type="dxa"/>
              <w:bottom w:w="80" w:type="dxa"/>
              <w:right w:w="90" w:type="dxa"/>
            </w:tcMar>
          </w:tcPr>
          <w:p w14:paraId="42098FE6" w14:textId="77777777">
            <w:pPr>
              <w:spacing w:after="0" w:line="240" w:lineRule="auto"/>
              <w:rPr>
                <w:rFonts w:asciiTheme="minorHAnsi" w:hAnsiTheme="minorHAnsi"/>
                <w:sz w:val="20"/>
                <w:szCs w:val="20"/>
              </w:rPr>
            </w:pPr>
            <w:r>
              <w:rPr>
                <w:rFonts w:asciiTheme="minorHAnsi" w:eastAsia="Arial" w:hAnsiTheme="minorHAnsi" w:cs="Arial"/>
                <w:sz w:val="20"/>
                <w:szCs w:val="20"/>
              </w:rPr>
              <w:t>Expected shared items for two papers</w:t>
            </w:r>
          </w:p>
        </w:tc>
        <w:tc>
          <w:tcPr>
            <w:tcW w:w="2376" w:type="dxa"/>
            <w:tcMar>
              <w:top w:w="80" w:type="dxa"/>
              <w:left w:w="90" w:type="dxa"/>
              <w:bottom w:w="80" w:type="dxa"/>
              <w:right w:w="90" w:type="dxa"/>
            </w:tcMar>
          </w:tcPr>
          <w:p w14:paraId="03E243E0" w14:textId="77777777">
            <w:pPr>
              <w:spacing w:after="0" w:line="240" w:lineRule="auto"/>
              <w:rPr>
                <w:rFonts w:asciiTheme="minorHAnsi" w:hAnsiTheme="minorHAnsi"/>
                <w:sz w:val="20"/>
                <w:szCs w:val="20"/>
              </w:rPr>
            </w:pPr>
            <w:r>
              <w:rPr>
                <w:rFonts w:asciiTheme="minorHAnsi" w:eastAsia="Arial" w:hAnsiTheme="minorHAnsi" w:cs="Arial"/>
                <w:sz w:val="20"/>
                <w:szCs w:val="20"/>
              </w:rPr>
              <w:t>9.80</w:t>
            </w:r>
          </w:p>
        </w:tc>
        <w:tc>
          <w:tcPr>
            <w:tcW w:w="3672" w:type="dxa"/>
            <w:tcMar>
              <w:top w:w="80" w:type="dxa"/>
              <w:left w:w="90" w:type="dxa"/>
              <w:bottom w:w="80" w:type="dxa"/>
              <w:right w:w="90" w:type="dxa"/>
            </w:tcMar>
          </w:tcPr>
          <w:p w14:paraId="1A528945" w14:textId="77777777">
            <w:pPr>
              <w:spacing w:after="0" w:line="240" w:lineRule="auto"/>
              <w:rPr>
                <w:rFonts w:asciiTheme="minorHAnsi" w:hAnsiTheme="minorHAnsi"/>
                <w:sz w:val="20"/>
                <w:szCs w:val="20"/>
              </w:rPr>
            </w:pPr>
            <w:r>
              <w:rPr>
                <w:rFonts w:asciiTheme="minorHAnsi" w:eastAsia="Arial" w:hAnsiTheme="minorHAnsi" w:cs="Arial"/>
                <w:sz w:val="20"/>
                <w:szCs w:val="20"/>
              </w:rPr>
              <w:t>14.0% of each 70-item paper</w:t>
            </w:r>
          </w:p>
        </w:tc>
      </w:tr>
      <w:tr w14:paraId="79ABEEEA" w14:textId="77777777">
        <w:trPr>
          <w:jc w:val="center"/>
        </w:trPr>
        <w:tc>
          <w:tcPr>
            <w:tcW w:w="4176" w:type="dxa"/>
            <w:shd w:val="clear" w:color="auto" w:fill="F3F6FB"/>
            <w:tcMar>
              <w:top w:w="80" w:type="dxa"/>
              <w:left w:w="90" w:type="dxa"/>
              <w:bottom w:w="80" w:type="dxa"/>
              <w:right w:w="90" w:type="dxa"/>
            </w:tcMar>
          </w:tcPr>
          <w:p w14:paraId="33304828" w14:textId="77777777">
            <w:pPr>
              <w:spacing w:after="0" w:line="240" w:lineRule="auto"/>
              <w:rPr>
                <w:rFonts w:asciiTheme="minorHAnsi" w:hAnsiTheme="minorHAnsi"/>
                <w:sz w:val="20"/>
                <w:szCs w:val="20"/>
              </w:rPr>
            </w:pPr>
            <w:proofErr w:type="gramStart"/>
            <w:r>
              <w:rPr>
                <w:rFonts w:asciiTheme="minorHAnsi" w:eastAsia="Arial" w:hAnsiTheme="minorHAnsi" w:cs="Arial"/>
                <w:sz w:val="20"/>
                <w:szCs w:val="20"/>
              </w:rPr>
              <w:t>P(</w:t>
            </w:r>
            <w:proofErr w:type="gramEnd"/>
            <w:r>
              <w:rPr>
                <w:rFonts w:asciiTheme="minorHAnsi" w:eastAsia="Arial" w:hAnsiTheme="minorHAnsi" w:cs="Arial"/>
                <w:sz w:val="20"/>
                <w:szCs w:val="20"/>
              </w:rPr>
              <w:t>pair overlap ≥ 15 items)</w:t>
            </w:r>
          </w:p>
        </w:tc>
        <w:tc>
          <w:tcPr>
            <w:tcW w:w="2376" w:type="dxa"/>
            <w:shd w:val="clear" w:color="auto" w:fill="F3F6FB"/>
            <w:tcMar>
              <w:top w:w="80" w:type="dxa"/>
              <w:left w:w="90" w:type="dxa"/>
              <w:bottom w:w="80" w:type="dxa"/>
              <w:right w:w="90" w:type="dxa"/>
            </w:tcMar>
          </w:tcPr>
          <w:p w14:paraId="5E4CE4A5" w14:textId="77777777">
            <w:pPr>
              <w:spacing w:after="0" w:line="240" w:lineRule="auto"/>
              <w:rPr>
                <w:rFonts w:asciiTheme="minorHAnsi" w:hAnsiTheme="minorHAnsi"/>
                <w:sz w:val="20"/>
                <w:szCs w:val="20"/>
              </w:rPr>
            </w:pPr>
            <w:r>
              <w:rPr>
                <w:rFonts w:asciiTheme="minorHAnsi" w:eastAsia="Arial" w:hAnsiTheme="minorHAnsi" w:cs="Arial"/>
                <w:sz w:val="20"/>
                <w:szCs w:val="20"/>
              </w:rPr>
              <w:t>0.045121</w:t>
            </w:r>
          </w:p>
        </w:tc>
        <w:tc>
          <w:tcPr>
            <w:tcW w:w="3672" w:type="dxa"/>
            <w:shd w:val="clear" w:color="auto" w:fill="F3F6FB"/>
            <w:tcMar>
              <w:top w:w="80" w:type="dxa"/>
              <w:left w:w="90" w:type="dxa"/>
              <w:bottom w:w="80" w:type="dxa"/>
              <w:right w:w="90" w:type="dxa"/>
            </w:tcMar>
          </w:tcPr>
          <w:p w14:paraId="46EC7E09" w14:textId="77777777">
            <w:pPr>
              <w:spacing w:after="0" w:line="240" w:lineRule="auto"/>
              <w:rPr>
                <w:rFonts w:asciiTheme="minorHAnsi" w:hAnsiTheme="minorHAnsi"/>
                <w:sz w:val="20"/>
                <w:szCs w:val="20"/>
              </w:rPr>
            </w:pPr>
            <w:r>
              <w:rPr>
                <w:rFonts w:asciiTheme="minorHAnsi" w:eastAsia="Arial" w:hAnsiTheme="minorHAnsi" w:cs="Arial"/>
                <w:sz w:val="20"/>
                <w:szCs w:val="20"/>
              </w:rPr>
              <w:t>4.512%</w:t>
            </w:r>
          </w:p>
        </w:tc>
      </w:tr>
      <w:tr w14:paraId="4F8F5C28" w14:textId="77777777">
        <w:trPr>
          <w:jc w:val="center"/>
        </w:trPr>
        <w:tc>
          <w:tcPr>
            <w:tcW w:w="4176" w:type="dxa"/>
            <w:tcMar>
              <w:top w:w="80" w:type="dxa"/>
              <w:left w:w="90" w:type="dxa"/>
              <w:bottom w:w="80" w:type="dxa"/>
              <w:right w:w="90" w:type="dxa"/>
            </w:tcMar>
          </w:tcPr>
          <w:p w14:paraId="53F98A6E" w14:textId="77777777">
            <w:pPr>
              <w:spacing w:after="0" w:line="240" w:lineRule="auto"/>
              <w:rPr>
                <w:rFonts w:asciiTheme="minorHAnsi" w:hAnsiTheme="minorHAnsi"/>
                <w:sz w:val="20"/>
                <w:szCs w:val="20"/>
              </w:rPr>
            </w:pPr>
            <w:proofErr w:type="gramStart"/>
            <w:r>
              <w:rPr>
                <w:rFonts w:asciiTheme="minorHAnsi" w:eastAsia="Arial" w:hAnsiTheme="minorHAnsi" w:cs="Arial"/>
                <w:sz w:val="20"/>
                <w:szCs w:val="20"/>
              </w:rPr>
              <w:t>P(</w:t>
            </w:r>
            <w:proofErr w:type="gramEnd"/>
            <w:r>
              <w:rPr>
                <w:rFonts w:asciiTheme="minorHAnsi" w:eastAsia="Arial" w:hAnsiTheme="minorHAnsi" w:cs="Arial"/>
                <w:sz w:val="20"/>
                <w:szCs w:val="20"/>
              </w:rPr>
              <w:t>pair overlap ≥ 20 items)</w:t>
            </w:r>
          </w:p>
        </w:tc>
        <w:tc>
          <w:tcPr>
            <w:tcW w:w="2376" w:type="dxa"/>
            <w:tcMar>
              <w:top w:w="80" w:type="dxa"/>
              <w:left w:w="90" w:type="dxa"/>
              <w:bottom w:w="80" w:type="dxa"/>
              <w:right w:w="90" w:type="dxa"/>
            </w:tcMar>
          </w:tcPr>
          <w:p w14:paraId="27408EE1" w14:textId="77777777">
            <w:pPr>
              <w:spacing w:after="0" w:line="240" w:lineRule="auto"/>
              <w:rPr>
                <w:rFonts w:asciiTheme="minorHAnsi" w:hAnsiTheme="minorHAnsi"/>
                <w:sz w:val="20"/>
                <w:szCs w:val="20"/>
              </w:rPr>
            </w:pPr>
            <w:r>
              <w:rPr>
                <w:rFonts w:asciiTheme="minorHAnsi" w:eastAsia="Arial" w:hAnsiTheme="minorHAnsi" w:cs="Arial"/>
                <w:sz w:val="20"/>
                <w:szCs w:val="20"/>
              </w:rPr>
              <w:t>0.000417472</w:t>
            </w:r>
          </w:p>
        </w:tc>
        <w:tc>
          <w:tcPr>
            <w:tcW w:w="3672" w:type="dxa"/>
            <w:tcMar>
              <w:top w:w="80" w:type="dxa"/>
              <w:left w:w="90" w:type="dxa"/>
              <w:bottom w:w="80" w:type="dxa"/>
              <w:right w:w="90" w:type="dxa"/>
            </w:tcMar>
          </w:tcPr>
          <w:p w14:paraId="72B61D4F" w14:textId="77777777">
            <w:pPr>
              <w:spacing w:after="0" w:line="240" w:lineRule="auto"/>
              <w:rPr>
                <w:rFonts w:asciiTheme="minorHAnsi" w:hAnsiTheme="minorHAnsi"/>
                <w:sz w:val="20"/>
                <w:szCs w:val="20"/>
              </w:rPr>
            </w:pPr>
            <w:r>
              <w:rPr>
                <w:rFonts w:asciiTheme="minorHAnsi" w:eastAsia="Arial" w:hAnsiTheme="minorHAnsi" w:cs="Arial"/>
                <w:sz w:val="20"/>
                <w:szCs w:val="20"/>
              </w:rPr>
              <w:t>0.04175%</w:t>
            </w:r>
          </w:p>
        </w:tc>
      </w:tr>
      <w:tr w14:paraId="1439CB0B" w14:textId="77777777">
        <w:trPr>
          <w:jc w:val="center"/>
        </w:trPr>
        <w:tc>
          <w:tcPr>
            <w:tcW w:w="4176" w:type="dxa"/>
            <w:shd w:val="clear" w:color="auto" w:fill="F3F6FB"/>
            <w:tcMar>
              <w:top w:w="80" w:type="dxa"/>
              <w:left w:w="90" w:type="dxa"/>
              <w:bottom w:w="80" w:type="dxa"/>
              <w:right w:w="90" w:type="dxa"/>
            </w:tcMar>
          </w:tcPr>
          <w:p w14:paraId="49CF3921" w14:textId="77777777">
            <w:pPr>
              <w:spacing w:after="0" w:line="240" w:lineRule="auto"/>
              <w:rPr>
                <w:rFonts w:asciiTheme="minorHAnsi" w:hAnsiTheme="minorHAnsi"/>
                <w:sz w:val="20"/>
                <w:szCs w:val="20"/>
              </w:rPr>
            </w:pPr>
            <w:r>
              <w:rPr>
                <w:rFonts w:asciiTheme="minorHAnsi" w:eastAsia="Arial" w:hAnsiTheme="minorHAnsi" w:cs="Arial"/>
                <w:sz w:val="20"/>
                <w:szCs w:val="20"/>
              </w:rPr>
              <w:t>Approx. probability of any exact duplicate among 200 papers</w:t>
            </w:r>
          </w:p>
        </w:tc>
        <w:tc>
          <w:tcPr>
            <w:tcW w:w="2376" w:type="dxa"/>
            <w:shd w:val="clear" w:color="auto" w:fill="F3F6FB"/>
            <w:tcMar>
              <w:top w:w="80" w:type="dxa"/>
              <w:left w:w="90" w:type="dxa"/>
              <w:bottom w:w="80" w:type="dxa"/>
              <w:right w:w="90" w:type="dxa"/>
            </w:tcMar>
          </w:tcPr>
          <w:p w14:paraId="2DCF9595" w14:textId="77777777">
            <w:pPr>
              <w:spacing w:after="0" w:line="240" w:lineRule="auto"/>
              <w:rPr>
                <w:rFonts w:asciiTheme="minorHAnsi" w:hAnsiTheme="minorHAnsi"/>
                <w:sz w:val="20"/>
                <w:szCs w:val="20"/>
              </w:rPr>
            </w:pPr>
            <w:r>
              <w:rPr>
                <w:rFonts w:asciiTheme="minorHAnsi" w:eastAsia="Arial" w:hAnsiTheme="minorHAnsi" w:cs="Arial"/>
                <w:sz w:val="20"/>
                <w:szCs w:val="20"/>
              </w:rPr>
              <w:t>4.483e-83</w:t>
            </w:r>
          </w:p>
        </w:tc>
        <w:tc>
          <w:tcPr>
            <w:tcW w:w="3672" w:type="dxa"/>
            <w:shd w:val="clear" w:color="auto" w:fill="F3F6FB"/>
            <w:tcMar>
              <w:top w:w="80" w:type="dxa"/>
              <w:left w:w="90" w:type="dxa"/>
              <w:bottom w:w="80" w:type="dxa"/>
              <w:right w:w="90" w:type="dxa"/>
            </w:tcMar>
          </w:tcPr>
          <w:p w14:paraId="0FAA52DE" w14:textId="77777777">
            <w:pPr>
              <w:spacing w:after="0" w:line="240" w:lineRule="auto"/>
              <w:rPr>
                <w:rFonts w:asciiTheme="minorHAnsi" w:hAnsiTheme="minorHAnsi"/>
                <w:sz w:val="20"/>
                <w:szCs w:val="20"/>
              </w:rPr>
            </w:pPr>
            <w:r>
              <w:rPr>
                <w:rFonts w:asciiTheme="minorHAnsi" w:eastAsia="Arial" w:hAnsiTheme="minorHAnsi" w:cs="Arial"/>
                <w:sz w:val="20"/>
                <w:szCs w:val="20"/>
              </w:rPr>
              <w:t>Birthday-bound approximation; negligible</w:t>
            </w:r>
          </w:p>
        </w:tc>
      </w:tr>
      <w:tr w14:paraId="495AC7BC" w14:textId="77777777">
        <w:trPr>
          <w:jc w:val="center"/>
        </w:trPr>
        <w:tc>
          <w:tcPr>
            <w:tcW w:w="4176" w:type="dxa"/>
            <w:tcMar>
              <w:top w:w="80" w:type="dxa"/>
              <w:left w:w="90" w:type="dxa"/>
              <w:bottom w:w="80" w:type="dxa"/>
              <w:right w:w="90" w:type="dxa"/>
            </w:tcMar>
          </w:tcPr>
          <w:p w14:paraId="082F27E9" w14:textId="77777777">
            <w:pPr>
              <w:spacing w:after="0" w:line="240" w:lineRule="auto"/>
              <w:rPr>
                <w:rFonts w:asciiTheme="minorHAnsi" w:hAnsiTheme="minorHAnsi"/>
                <w:sz w:val="20"/>
                <w:szCs w:val="20"/>
              </w:rPr>
            </w:pPr>
            <w:r>
              <w:rPr>
                <w:rFonts w:asciiTheme="minorHAnsi" w:eastAsia="Arial" w:hAnsiTheme="minorHAnsi" w:cs="Arial"/>
                <w:sz w:val="20"/>
                <w:szCs w:val="20"/>
              </w:rPr>
              <w:t>Expected exposure per item across 200 candidates</w:t>
            </w:r>
          </w:p>
        </w:tc>
        <w:tc>
          <w:tcPr>
            <w:tcW w:w="2376" w:type="dxa"/>
            <w:tcMar>
              <w:top w:w="80" w:type="dxa"/>
              <w:left w:w="90" w:type="dxa"/>
              <w:bottom w:w="80" w:type="dxa"/>
              <w:right w:w="90" w:type="dxa"/>
            </w:tcMar>
          </w:tcPr>
          <w:p w14:paraId="141AD0FE" w14:textId="77777777">
            <w:pPr>
              <w:spacing w:after="0" w:line="240" w:lineRule="auto"/>
              <w:rPr>
                <w:rFonts w:asciiTheme="minorHAnsi" w:hAnsiTheme="minorHAnsi"/>
                <w:sz w:val="20"/>
                <w:szCs w:val="20"/>
              </w:rPr>
            </w:pPr>
            <w:r>
              <w:rPr>
                <w:rFonts w:asciiTheme="minorHAnsi" w:eastAsia="Arial" w:hAnsiTheme="minorHAnsi" w:cs="Arial"/>
                <w:sz w:val="20"/>
                <w:szCs w:val="20"/>
              </w:rPr>
              <w:t>28.0</w:t>
            </w:r>
          </w:p>
        </w:tc>
        <w:tc>
          <w:tcPr>
            <w:tcW w:w="3672" w:type="dxa"/>
            <w:tcMar>
              <w:top w:w="80" w:type="dxa"/>
              <w:left w:w="90" w:type="dxa"/>
              <w:bottom w:w="80" w:type="dxa"/>
              <w:right w:w="90" w:type="dxa"/>
            </w:tcMar>
          </w:tcPr>
          <w:p w14:paraId="63D04E5A" w14:textId="77777777">
            <w:pPr>
              <w:spacing w:after="0" w:line="240" w:lineRule="auto"/>
              <w:rPr>
                <w:rFonts w:asciiTheme="minorHAnsi" w:hAnsiTheme="minorHAnsi"/>
                <w:sz w:val="20"/>
                <w:szCs w:val="20"/>
              </w:rPr>
            </w:pPr>
            <w:r>
              <w:rPr>
                <w:rFonts w:asciiTheme="minorHAnsi" w:eastAsia="Arial" w:hAnsiTheme="minorHAnsi" w:cs="Arial"/>
                <w:sz w:val="20"/>
                <w:szCs w:val="20"/>
              </w:rPr>
              <w:t>28 candidate papers</w:t>
            </w:r>
          </w:p>
        </w:tc>
      </w:tr>
      <w:tr w14:paraId="1277AC7E" w14:textId="77777777">
        <w:trPr>
          <w:jc w:val="center"/>
        </w:trPr>
        <w:tc>
          <w:tcPr>
            <w:tcW w:w="4176" w:type="dxa"/>
            <w:shd w:val="clear" w:color="auto" w:fill="F3F6FB"/>
            <w:tcMar>
              <w:top w:w="80" w:type="dxa"/>
              <w:left w:w="90" w:type="dxa"/>
              <w:bottom w:w="80" w:type="dxa"/>
              <w:right w:w="90" w:type="dxa"/>
            </w:tcMar>
          </w:tcPr>
          <w:p w14:paraId="3AAD467F" w14:textId="77777777">
            <w:pPr>
              <w:spacing w:after="0" w:line="240" w:lineRule="auto"/>
              <w:rPr>
                <w:rFonts w:asciiTheme="minorHAnsi" w:hAnsiTheme="minorHAnsi"/>
                <w:sz w:val="20"/>
                <w:szCs w:val="20"/>
              </w:rPr>
            </w:pPr>
            <w:r>
              <w:rPr>
                <w:rFonts w:asciiTheme="minorHAnsi" w:eastAsia="Arial" w:hAnsiTheme="minorHAnsi" w:cs="Arial"/>
                <w:sz w:val="20"/>
                <w:szCs w:val="20"/>
              </w:rPr>
              <w:t>Theoretical exposure SD</w:t>
            </w:r>
          </w:p>
        </w:tc>
        <w:tc>
          <w:tcPr>
            <w:tcW w:w="2376" w:type="dxa"/>
            <w:shd w:val="clear" w:color="auto" w:fill="F3F6FB"/>
            <w:tcMar>
              <w:top w:w="80" w:type="dxa"/>
              <w:left w:w="90" w:type="dxa"/>
              <w:bottom w:w="80" w:type="dxa"/>
              <w:right w:w="90" w:type="dxa"/>
            </w:tcMar>
          </w:tcPr>
          <w:p w14:paraId="24764FC1" w14:textId="77777777">
            <w:pPr>
              <w:spacing w:after="0" w:line="240" w:lineRule="auto"/>
              <w:rPr>
                <w:rFonts w:asciiTheme="minorHAnsi" w:hAnsiTheme="minorHAnsi"/>
                <w:sz w:val="20"/>
                <w:szCs w:val="20"/>
              </w:rPr>
            </w:pPr>
            <w:r>
              <w:rPr>
                <w:rFonts w:asciiTheme="minorHAnsi" w:eastAsia="Arial" w:hAnsiTheme="minorHAnsi" w:cs="Arial"/>
                <w:sz w:val="20"/>
                <w:szCs w:val="20"/>
              </w:rPr>
              <w:t>4.91</w:t>
            </w:r>
          </w:p>
        </w:tc>
        <w:tc>
          <w:tcPr>
            <w:tcW w:w="3672" w:type="dxa"/>
            <w:shd w:val="clear" w:color="auto" w:fill="F3F6FB"/>
            <w:tcMar>
              <w:top w:w="80" w:type="dxa"/>
              <w:left w:w="90" w:type="dxa"/>
              <w:bottom w:w="80" w:type="dxa"/>
              <w:right w:w="90" w:type="dxa"/>
            </w:tcMar>
          </w:tcPr>
          <w:p w14:paraId="69DE5BE1" w14:textId="77777777">
            <w:pPr>
              <w:spacing w:after="0" w:line="240" w:lineRule="auto"/>
              <w:rPr>
                <w:rFonts w:asciiTheme="minorHAnsi" w:hAnsiTheme="minorHAnsi"/>
                <w:sz w:val="20"/>
                <w:szCs w:val="20"/>
              </w:rPr>
            </w:pPr>
            <w:r>
              <w:rPr>
                <w:rFonts w:asciiTheme="minorHAnsi" w:eastAsia="Arial" w:hAnsiTheme="minorHAnsi" w:cs="Arial"/>
                <w:sz w:val="20"/>
                <w:szCs w:val="20"/>
              </w:rPr>
              <w:t>Binomial approximation</w:t>
            </w:r>
          </w:p>
        </w:tc>
      </w:tr>
    </w:tbl>
    <w:p w14:paraId="14212AE1" w14:textId="77777777">
      <w:pPr>
        <w:pStyle w:val="Caption"/>
        <w:spacing w:after="0"/>
        <w:rPr>
          <w:rFonts w:asciiTheme="minorHAnsi" w:hAnsiTheme="minorHAnsi"/>
          <w:sz w:val="20"/>
          <w:szCs w:val="20"/>
        </w:rPr>
      </w:pPr>
      <w:r>
        <w:rPr>
          <w:rFonts w:asciiTheme="minorHAnsi" w:eastAsia="Arial" w:hAnsiTheme="minorHAnsi" w:cs="Arial"/>
          <w:sz w:val="20"/>
          <w:szCs w:val="20"/>
        </w:rPr>
        <w:t>Table 4. Exact analytical properties of the 500-item-bank/70-item-paper design.</w:t>
      </w:r>
    </w:p>
    <w:p w14:paraId="5776A9B1" w14:textId="77777777">
      <w:pPr>
        <w:pStyle w:val="Heading2"/>
        <w:spacing w:after="0"/>
        <w:rPr>
          <w:rFonts w:asciiTheme="minorHAnsi" w:hAnsiTheme="minorHAnsi"/>
          <w:sz w:val="20"/>
          <w:szCs w:val="20"/>
        </w:rPr>
      </w:pPr>
    </w:p>
    <w:p w14:paraId="7E58CEBA" w14:textId="77777777">
      <w:pPr>
        <w:pStyle w:val="Heading1"/>
        <w:spacing w:after="0"/>
        <w:rPr>
          <w:rFonts w:asciiTheme="minorHAnsi" w:hAnsiTheme="minorHAnsi"/>
          <w:sz w:val="20"/>
          <w:szCs w:val="20"/>
        </w:rPr>
      </w:pPr>
      <w:r>
        <w:rPr>
          <w:rFonts w:asciiTheme="minorHAnsi" w:hAnsiTheme="minorHAnsi"/>
          <w:sz w:val="20"/>
          <w:szCs w:val="20"/>
        </w:rPr>
        <w:t>5.3 Monte Carlo overlap and exposure</w:t>
      </w:r>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4268"/>
        <w:gridCol w:w="1853"/>
        <w:gridCol w:w="3990"/>
      </w:tblGrid>
      <w:tr w14:paraId="4197401A" w14:textId="77777777">
        <w:trPr>
          <w:tblHeader/>
          <w:jc w:val="center"/>
        </w:trPr>
        <w:tc>
          <w:tcPr>
            <w:tcW w:w="4320" w:type="dxa"/>
            <w:shd w:val="clear" w:color="auto" w:fill="071A45"/>
            <w:tcMar>
              <w:top w:w="80" w:type="dxa"/>
              <w:left w:w="90" w:type="dxa"/>
              <w:bottom w:w="80" w:type="dxa"/>
              <w:right w:w="90" w:type="dxa"/>
            </w:tcMar>
            <w:vAlign w:val="center"/>
          </w:tcPr>
          <w:p w14:paraId="2FFFB733"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Simulation statistic</w:t>
            </w:r>
          </w:p>
        </w:tc>
        <w:tc>
          <w:tcPr>
            <w:tcW w:w="1872" w:type="dxa"/>
            <w:shd w:val="clear" w:color="auto" w:fill="071A45"/>
            <w:tcMar>
              <w:top w:w="80" w:type="dxa"/>
              <w:left w:w="90" w:type="dxa"/>
              <w:bottom w:w="80" w:type="dxa"/>
              <w:right w:w="90" w:type="dxa"/>
            </w:tcMar>
            <w:vAlign w:val="center"/>
          </w:tcPr>
          <w:p w14:paraId="0023DC4C"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Result</w:t>
            </w:r>
          </w:p>
        </w:tc>
        <w:tc>
          <w:tcPr>
            <w:tcW w:w="4032" w:type="dxa"/>
            <w:shd w:val="clear" w:color="auto" w:fill="071A45"/>
            <w:tcMar>
              <w:top w:w="80" w:type="dxa"/>
              <w:left w:w="90" w:type="dxa"/>
              <w:bottom w:w="80" w:type="dxa"/>
              <w:right w:w="90" w:type="dxa"/>
            </w:tcMar>
            <w:vAlign w:val="center"/>
          </w:tcPr>
          <w:p w14:paraId="7AC70EFF"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Interpretation</w:t>
            </w:r>
          </w:p>
        </w:tc>
      </w:tr>
      <w:tr w14:paraId="50DDFDA1" w14:textId="77777777">
        <w:trPr>
          <w:jc w:val="center"/>
        </w:trPr>
        <w:tc>
          <w:tcPr>
            <w:tcW w:w="4320" w:type="dxa"/>
            <w:tcMar>
              <w:top w:w="80" w:type="dxa"/>
              <w:left w:w="90" w:type="dxa"/>
              <w:bottom w:w="80" w:type="dxa"/>
              <w:right w:w="90" w:type="dxa"/>
            </w:tcMar>
          </w:tcPr>
          <w:p w14:paraId="62830A39" w14:textId="77777777">
            <w:pPr>
              <w:spacing w:after="0" w:line="240" w:lineRule="auto"/>
              <w:rPr>
                <w:rFonts w:asciiTheme="minorHAnsi" w:hAnsiTheme="minorHAnsi"/>
                <w:sz w:val="20"/>
                <w:szCs w:val="20"/>
              </w:rPr>
            </w:pPr>
            <w:r>
              <w:rPr>
                <w:rFonts w:asciiTheme="minorHAnsi" w:eastAsia="Arial" w:hAnsiTheme="minorHAnsi" w:cs="Arial"/>
                <w:sz w:val="20"/>
                <w:szCs w:val="20"/>
              </w:rPr>
              <w:t>Mean pairwise overlap across replications</w:t>
            </w:r>
          </w:p>
        </w:tc>
        <w:tc>
          <w:tcPr>
            <w:tcW w:w="1872" w:type="dxa"/>
            <w:tcMar>
              <w:top w:w="80" w:type="dxa"/>
              <w:left w:w="90" w:type="dxa"/>
              <w:bottom w:w="80" w:type="dxa"/>
              <w:right w:w="90" w:type="dxa"/>
            </w:tcMar>
          </w:tcPr>
          <w:p w14:paraId="582C124F" w14:textId="77777777">
            <w:pPr>
              <w:spacing w:after="0" w:line="240" w:lineRule="auto"/>
              <w:rPr>
                <w:rFonts w:asciiTheme="minorHAnsi" w:hAnsiTheme="minorHAnsi"/>
                <w:sz w:val="20"/>
                <w:szCs w:val="20"/>
              </w:rPr>
            </w:pPr>
            <w:r>
              <w:rPr>
                <w:rFonts w:asciiTheme="minorHAnsi" w:eastAsia="Arial" w:hAnsiTheme="minorHAnsi" w:cs="Arial"/>
                <w:sz w:val="20"/>
                <w:szCs w:val="20"/>
              </w:rPr>
              <w:t>9.800</w:t>
            </w:r>
          </w:p>
        </w:tc>
        <w:tc>
          <w:tcPr>
            <w:tcW w:w="4032" w:type="dxa"/>
            <w:tcMar>
              <w:top w:w="80" w:type="dxa"/>
              <w:left w:w="90" w:type="dxa"/>
              <w:bottom w:w="80" w:type="dxa"/>
              <w:right w:w="90" w:type="dxa"/>
            </w:tcMar>
          </w:tcPr>
          <w:p w14:paraId="2DC7463A" w14:textId="77777777">
            <w:pPr>
              <w:spacing w:after="0" w:line="240" w:lineRule="auto"/>
              <w:rPr>
                <w:rFonts w:asciiTheme="minorHAnsi" w:hAnsiTheme="minorHAnsi"/>
                <w:sz w:val="20"/>
                <w:szCs w:val="20"/>
              </w:rPr>
            </w:pPr>
            <w:r>
              <w:rPr>
                <w:rFonts w:asciiTheme="minorHAnsi" w:eastAsia="Arial" w:hAnsiTheme="minorHAnsi" w:cs="Arial"/>
                <w:sz w:val="20"/>
                <w:szCs w:val="20"/>
              </w:rPr>
              <w:t>SD across replications 0.020</w:t>
            </w:r>
          </w:p>
        </w:tc>
      </w:tr>
      <w:tr w14:paraId="7FE7442A" w14:textId="77777777">
        <w:trPr>
          <w:jc w:val="center"/>
        </w:trPr>
        <w:tc>
          <w:tcPr>
            <w:tcW w:w="4320" w:type="dxa"/>
            <w:shd w:val="clear" w:color="auto" w:fill="F3F6FB"/>
            <w:tcMar>
              <w:top w:w="80" w:type="dxa"/>
              <w:left w:w="90" w:type="dxa"/>
              <w:bottom w:w="80" w:type="dxa"/>
              <w:right w:w="90" w:type="dxa"/>
            </w:tcMar>
          </w:tcPr>
          <w:p w14:paraId="6F57EC2B" w14:textId="77777777">
            <w:pPr>
              <w:spacing w:after="0" w:line="240" w:lineRule="auto"/>
              <w:rPr>
                <w:rFonts w:asciiTheme="minorHAnsi" w:hAnsiTheme="minorHAnsi"/>
                <w:sz w:val="20"/>
                <w:szCs w:val="20"/>
              </w:rPr>
            </w:pPr>
            <w:r>
              <w:rPr>
                <w:rFonts w:asciiTheme="minorHAnsi" w:eastAsia="Arial" w:hAnsiTheme="minorHAnsi" w:cs="Arial"/>
                <w:sz w:val="20"/>
                <w:szCs w:val="20"/>
              </w:rPr>
              <w:t>Mean 95th-percentile pairwise overlap</w:t>
            </w:r>
          </w:p>
        </w:tc>
        <w:tc>
          <w:tcPr>
            <w:tcW w:w="1872" w:type="dxa"/>
            <w:shd w:val="clear" w:color="auto" w:fill="F3F6FB"/>
            <w:tcMar>
              <w:top w:w="80" w:type="dxa"/>
              <w:left w:w="90" w:type="dxa"/>
              <w:bottom w:w="80" w:type="dxa"/>
              <w:right w:w="90" w:type="dxa"/>
            </w:tcMar>
          </w:tcPr>
          <w:p w14:paraId="1B0C0FEE" w14:textId="77777777">
            <w:pPr>
              <w:spacing w:after="0" w:line="240" w:lineRule="auto"/>
              <w:rPr>
                <w:rFonts w:asciiTheme="minorHAnsi" w:hAnsiTheme="minorHAnsi"/>
                <w:sz w:val="20"/>
                <w:szCs w:val="20"/>
              </w:rPr>
            </w:pPr>
            <w:r>
              <w:rPr>
                <w:rFonts w:asciiTheme="minorHAnsi" w:eastAsia="Arial" w:hAnsiTheme="minorHAnsi" w:cs="Arial"/>
                <w:sz w:val="20"/>
                <w:szCs w:val="20"/>
              </w:rPr>
              <w:t>14.00</w:t>
            </w:r>
          </w:p>
        </w:tc>
        <w:tc>
          <w:tcPr>
            <w:tcW w:w="4032" w:type="dxa"/>
            <w:shd w:val="clear" w:color="auto" w:fill="F3F6FB"/>
            <w:tcMar>
              <w:top w:w="80" w:type="dxa"/>
              <w:left w:w="90" w:type="dxa"/>
              <w:bottom w:w="80" w:type="dxa"/>
              <w:right w:w="90" w:type="dxa"/>
            </w:tcMar>
          </w:tcPr>
          <w:p w14:paraId="38CBDCED" w14:textId="77777777">
            <w:pPr>
              <w:spacing w:after="0" w:line="240" w:lineRule="auto"/>
              <w:rPr>
                <w:rFonts w:asciiTheme="minorHAnsi" w:hAnsiTheme="minorHAnsi"/>
                <w:sz w:val="20"/>
                <w:szCs w:val="20"/>
              </w:rPr>
            </w:pPr>
            <w:r>
              <w:rPr>
                <w:rFonts w:asciiTheme="minorHAnsi" w:eastAsia="Arial" w:hAnsiTheme="minorHAnsi" w:cs="Arial"/>
                <w:sz w:val="20"/>
                <w:szCs w:val="20"/>
              </w:rPr>
              <w:t>Typical 95th percentile ≈ 14 items</w:t>
            </w:r>
          </w:p>
        </w:tc>
      </w:tr>
      <w:tr w14:paraId="40CCDE1D" w14:textId="77777777">
        <w:trPr>
          <w:jc w:val="center"/>
        </w:trPr>
        <w:tc>
          <w:tcPr>
            <w:tcW w:w="4320" w:type="dxa"/>
            <w:tcMar>
              <w:top w:w="80" w:type="dxa"/>
              <w:left w:w="90" w:type="dxa"/>
              <w:bottom w:w="80" w:type="dxa"/>
              <w:right w:w="90" w:type="dxa"/>
            </w:tcMar>
          </w:tcPr>
          <w:p w14:paraId="662EF7D1" w14:textId="77777777">
            <w:pPr>
              <w:spacing w:after="0" w:line="240" w:lineRule="auto"/>
              <w:rPr>
                <w:rFonts w:asciiTheme="minorHAnsi" w:hAnsiTheme="minorHAnsi"/>
                <w:sz w:val="20"/>
                <w:szCs w:val="20"/>
              </w:rPr>
            </w:pPr>
            <w:r>
              <w:rPr>
                <w:rFonts w:asciiTheme="minorHAnsi" w:eastAsia="Arial" w:hAnsiTheme="minorHAnsi" w:cs="Arial"/>
                <w:sz w:val="20"/>
                <w:szCs w:val="20"/>
              </w:rPr>
              <w:t>Mean maximum pairwise overlap per 200-candidate run</w:t>
            </w:r>
          </w:p>
        </w:tc>
        <w:tc>
          <w:tcPr>
            <w:tcW w:w="1872" w:type="dxa"/>
            <w:tcMar>
              <w:top w:w="80" w:type="dxa"/>
              <w:left w:w="90" w:type="dxa"/>
              <w:bottom w:w="80" w:type="dxa"/>
              <w:right w:w="90" w:type="dxa"/>
            </w:tcMar>
          </w:tcPr>
          <w:p w14:paraId="32E5F0CE" w14:textId="77777777">
            <w:pPr>
              <w:spacing w:after="0" w:line="240" w:lineRule="auto"/>
              <w:rPr>
                <w:rFonts w:asciiTheme="minorHAnsi" w:hAnsiTheme="minorHAnsi"/>
                <w:sz w:val="20"/>
                <w:szCs w:val="20"/>
              </w:rPr>
            </w:pPr>
            <w:r>
              <w:rPr>
                <w:rFonts w:asciiTheme="minorHAnsi" w:eastAsia="Arial" w:hAnsiTheme="minorHAnsi" w:cs="Arial"/>
                <w:sz w:val="20"/>
                <w:szCs w:val="20"/>
              </w:rPr>
              <w:t>21.69</w:t>
            </w:r>
          </w:p>
        </w:tc>
        <w:tc>
          <w:tcPr>
            <w:tcW w:w="4032" w:type="dxa"/>
            <w:tcMar>
              <w:top w:w="80" w:type="dxa"/>
              <w:left w:w="90" w:type="dxa"/>
              <w:bottom w:w="80" w:type="dxa"/>
              <w:right w:w="90" w:type="dxa"/>
            </w:tcMar>
          </w:tcPr>
          <w:p w14:paraId="3A53ED8C" w14:textId="77777777">
            <w:pPr>
              <w:spacing w:after="0" w:line="240" w:lineRule="auto"/>
              <w:rPr>
                <w:rFonts w:asciiTheme="minorHAnsi" w:hAnsiTheme="minorHAnsi"/>
                <w:sz w:val="20"/>
                <w:szCs w:val="20"/>
              </w:rPr>
            </w:pPr>
            <w:r>
              <w:rPr>
                <w:rFonts w:asciiTheme="minorHAnsi" w:eastAsia="Arial" w:hAnsiTheme="minorHAnsi" w:cs="Arial"/>
                <w:sz w:val="20"/>
                <w:szCs w:val="20"/>
              </w:rPr>
              <w:t>95th percentile of run maximum = 24</w:t>
            </w:r>
          </w:p>
        </w:tc>
      </w:tr>
      <w:tr w14:paraId="70766615" w14:textId="77777777">
        <w:trPr>
          <w:jc w:val="center"/>
        </w:trPr>
        <w:tc>
          <w:tcPr>
            <w:tcW w:w="4320" w:type="dxa"/>
            <w:shd w:val="clear" w:color="auto" w:fill="F3F6FB"/>
            <w:tcMar>
              <w:top w:w="80" w:type="dxa"/>
              <w:left w:w="90" w:type="dxa"/>
              <w:bottom w:w="80" w:type="dxa"/>
              <w:right w:w="90" w:type="dxa"/>
            </w:tcMar>
          </w:tcPr>
          <w:p w14:paraId="0E71D89A" w14:textId="77777777">
            <w:pPr>
              <w:spacing w:after="0" w:line="240" w:lineRule="auto"/>
              <w:rPr>
                <w:rFonts w:asciiTheme="minorHAnsi" w:hAnsiTheme="minorHAnsi"/>
                <w:sz w:val="20"/>
                <w:szCs w:val="20"/>
              </w:rPr>
            </w:pPr>
            <w:r>
              <w:rPr>
                <w:rFonts w:asciiTheme="minorHAnsi" w:eastAsia="Arial" w:hAnsiTheme="minorHAnsi" w:cs="Arial"/>
                <w:sz w:val="20"/>
                <w:szCs w:val="20"/>
              </w:rPr>
              <w:t>Mean minimum item exposure per run</w:t>
            </w:r>
          </w:p>
        </w:tc>
        <w:tc>
          <w:tcPr>
            <w:tcW w:w="1872" w:type="dxa"/>
            <w:shd w:val="clear" w:color="auto" w:fill="F3F6FB"/>
            <w:tcMar>
              <w:top w:w="80" w:type="dxa"/>
              <w:left w:w="90" w:type="dxa"/>
              <w:bottom w:w="80" w:type="dxa"/>
              <w:right w:w="90" w:type="dxa"/>
            </w:tcMar>
          </w:tcPr>
          <w:p w14:paraId="408F4C29" w14:textId="77777777">
            <w:pPr>
              <w:spacing w:after="0" w:line="240" w:lineRule="auto"/>
              <w:rPr>
                <w:rFonts w:asciiTheme="minorHAnsi" w:hAnsiTheme="minorHAnsi"/>
                <w:sz w:val="20"/>
                <w:szCs w:val="20"/>
              </w:rPr>
            </w:pPr>
            <w:r>
              <w:rPr>
                <w:rFonts w:asciiTheme="minorHAnsi" w:eastAsia="Arial" w:hAnsiTheme="minorHAnsi" w:cs="Arial"/>
                <w:sz w:val="20"/>
                <w:szCs w:val="20"/>
              </w:rPr>
              <w:t>14.19</w:t>
            </w:r>
          </w:p>
        </w:tc>
        <w:tc>
          <w:tcPr>
            <w:tcW w:w="4032" w:type="dxa"/>
            <w:shd w:val="clear" w:color="auto" w:fill="F3F6FB"/>
            <w:tcMar>
              <w:top w:w="80" w:type="dxa"/>
              <w:left w:w="90" w:type="dxa"/>
              <w:bottom w:w="80" w:type="dxa"/>
              <w:right w:w="90" w:type="dxa"/>
            </w:tcMar>
          </w:tcPr>
          <w:p w14:paraId="54698DEB" w14:textId="77777777">
            <w:pPr>
              <w:spacing w:after="0" w:line="240" w:lineRule="auto"/>
              <w:rPr>
                <w:rFonts w:asciiTheme="minorHAnsi" w:hAnsiTheme="minorHAnsi"/>
                <w:sz w:val="20"/>
                <w:szCs w:val="20"/>
              </w:rPr>
            </w:pPr>
            <w:r>
              <w:rPr>
                <w:rFonts w:asciiTheme="minorHAnsi" w:eastAsia="Arial" w:hAnsiTheme="minorHAnsi" w:cs="Arial"/>
                <w:sz w:val="20"/>
                <w:szCs w:val="20"/>
              </w:rPr>
              <w:t>Observed range across runs 9–18 candidates</w:t>
            </w:r>
          </w:p>
        </w:tc>
      </w:tr>
      <w:tr w14:paraId="78C867D4" w14:textId="77777777">
        <w:trPr>
          <w:jc w:val="center"/>
        </w:trPr>
        <w:tc>
          <w:tcPr>
            <w:tcW w:w="4320" w:type="dxa"/>
            <w:tcMar>
              <w:top w:w="80" w:type="dxa"/>
              <w:left w:w="90" w:type="dxa"/>
              <w:bottom w:w="80" w:type="dxa"/>
              <w:right w:w="90" w:type="dxa"/>
            </w:tcMar>
          </w:tcPr>
          <w:p w14:paraId="09371B2F" w14:textId="77777777">
            <w:pPr>
              <w:spacing w:after="0" w:line="240" w:lineRule="auto"/>
              <w:rPr>
                <w:rFonts w:asciiTheme="minorHAnsi" w:hAnsiTheme="minorHAnsi"/>
                <w:sz w:val="20"/>
                <w:szCs w:val="20"/>
              </w:rPr>
            </w:pPr>
            <w:r>
              <w:rPr>
                <w:rFonts w:asciiTheme="minorHAnsi" w:eastAsia="Arial" w:hAnsiTheme="minorHAnsi" w:cs="Arial"/>
                <w:sz w:val="20"/>
                <w:szCs w:val="20"/>
              </w:rPr>
              <w:t>Mean maximum item exposure per run</w:t>
            </w:r>
          </w:p>
        </w:tc>
        <w:tc>
          <w:tcPr>
            <w:tcW w:w="1872" w:type="dxa"/>
            <w:tcMar>
              <w:top w:w="80" w:type="dxa"/>
              <w:left w:w="90" w:type="dxa"/>
              <w:bottom w:w="80" w:type="dxa"/>
              <w:right w:w="90" w:type="dxa"/>
            </w:tcMar>
          </w:tcPr>
          <w:p w14:paraId="221A8EC0" w14:textId="77777777">
            <w:pPr>
              <w:spacing w:after="0" w:line="240" w:lineRule="auto"/>
              <w:rPr>
                <w:rFonts w:asciiTheme="minorHAnsi" w:hAnsiTheme="minorHAnsi"/>
                <w:sz w:val="20"/>
                <w:szCs w:val="20"/>
              </w:rPr>
            </w:pPr>
            <w:r>
              <w:rPr>
                <w:rFonts w:asciiTheme="minorHAnsi" w:eastAsia="Arial" w:hAnsiTheme="minorHAnsi" w:cs="Arial"/>
                <w:sz w:val="20"/>
                <w:szCs w:val="20"/>
              </w:rPr>
              <w:t>43.88</w:t>
            </w:r>
          </w:p>
        </w:tc>
        <w:tc>
          <w:tcPr>
            <w:tcW w:w="4032" w:type="dxa"/>
            <w:tcMar>
              <w:top w:w="80" w:type="dxa"/>
              <w:left w:w="90" w:type="dxa"/>
              <w:bottom w:w="80" w:type="dxa"/>
              <w:right w:w="90" w:type="dxa"/>
            </w:tcMar>
          </w:tcPr>
          <w:p w14:paraId="6FE329D3" w14:textId="77777777">
            <w:pPr>
              <w:spacing w:after="0" w:line="240" w:lineRule="auto"/>
              <w:rPr>
                <w:rFonts w:asciiTheme="minorHAnsi" w:hAnsiTheme="minorHAnsi"/>
                <w:sz w:val="20"/>
                <w:szCs w:val="20"/>
              </w:rPr>
            </w:pPr>
            <w:r>
              <w:rPr>
                <w:rFonts w:asciiTheme="minorHAnsi" w:eastAsia="Arial" w:hAnsiTheme="minorHAnsi" w:cs="Arial"/>
                <w:sz w:val="20"/>
                <w:szCs w:val="20"/>
              </w:rPr>
              <w:t>95th percentile = 48; range 39–51</w:t>
            </w:r>
          </w:p>
        </w:tc>
      </w:tr>
      <w:tr w14:paraId="1C8D2795" w14:textId="77777777">
        <w:trPr>
          <w:jc w:val="center"/>
        </w:trPr>
        <w:tc>
          <w:tcPr>
            <w:tcW w:w="4320" w:type="dxa"/>
            <w:shd w:val="clear" w:color="auto" w:fill="F3F6FB"/>
            <w:tcMar>
              <w:top w:w="80" w:type="dxa"/>
              <w:left w:w="90" w:type="dxa"/>
              <w:bottom w:w="80" w:type="dxa"/>
              <w:right w:w="90" w:type="dxa"/>
            </w:tcMar>
          </w:tcPr>
          <w:p w14:paraId="3B442AAD" w14:textId="77777777">
            <w:pPr>
              <w:spacing w:after="0" w:line="240" w:lineRule="auto"/>
              <w:rPr>
                <w:rFonts w:asciiTheme="minorHAnsi" w:hAnsiTheme="minorHAnsi"/>
                <w:sz w:val="20"/>
                <w:szCs w:val="20"/>
              </w:rPr>
            </w:pPr>
            <w:r>
              <w:rPr>
                <w:rFonts w:asciiTheme="minorHAnsi" w:eastAsia="Arial" w:hAnsiTheme="minorHAnsi" w:cs="Arial"/>
                <w:sz w:val="20"/>
                <w:szCs w:val="20"/>
              </w:rPr>
              <w:t>Mean SD of item exposure</w:t>
            </w:r>
          </w:p>
        </w:tc>
        <w:tc>
          <w:tcPr>
            <w:tcW w:w="1872" w:type="dxa"/>
            <w:shd w:val="clear" w:color="auto" w:fill="F3F6FB"/>
            <w:tcMar>
              <w:top w:w="80" w:type="dxa"/>
              <w:left w:w="90" w:type="dxa"/>
              <w:bottom w:w="80" w:type="dxa"/>
              <w:right w:w="90" w:type="dxa"/>
            </w:tcMar>
          </w:tcPr>
          <w:p w14:paraId="4125EFA9" w14:textId="77777777">
            <w:pPr>
              <w:spacing w:after="0" w:line="240" w:lineRule="auto"/>
              <w:rPr>
                <w:rFonts w:asciiTheme="minorHAnsi" w:hAnsiTheme="minorHAnsi"/>
                <w:sz w:val="20"/>
                <w:szCs w:val="20"/>
              </w:rPr>
            </w:pPr>
            <w:r>
              <w:rPr>
                <w:rFonts w:asciiTheme="minorHAnsi" w:eastAsia="Arial" w:hAnsiTheme="minorHAnsi" w:cs="Arial"/>
                <w:sz w:val="20"/>
                <w:szCs w:val="20"/>
              </w:rPr>
              <w:t>4.907</w:t>
            </w:r>
          </w:p>
        </w:tc>
        <w:tc>
          <w:tcPr>
            <w:tcW w:w="4032" w:type="dxa"/>
            <w:shd w:val="clear" w:color="auto" w:fill="F3F6FB"/>
            <w:tcMar>
              <w:top w:w="80" w:type="dxa"/>
              <w:left w:w="90" w:type="dxa"/>
              <w:bottom w:w="80" w:type="dxa"/>
              <w:right w:w="90" w:type="dxa"/>
            </w:tcMar>
          </w:tcPr>
          <w:p w14:paraId="676804CD" w14:textId="77777777">
            <w:pPr>
              <w:spacing w:after="0" w:line="240" w:lineRule="auto"/>
              <w:rPr>
                <w:rFonts w:asciiTheme="minorHAnsi" w:hAnsiTheme="minorHAnsi"/>
                <w:sz w:val="20"/>
                <w:szCs w:val="20"/>
              </w:rPr>
            </w:pPr>
            <w:r>
              <w:rPr>
                <w:rFonts w:asciiTheme="minorHAnsi" w:eastAsia="Arial" w:hAnsiTheme="minorHAnsi" w:cs="Arial"/>
                <w:sz w:val="20"/>
                <w:szCs w:val="20"/>
              </w:rPr>
              <w:t>Closely matches theoretical SD 4.91</w:t>
            </w:r>
          </w:p>
        </w:tc>
      </w:tr>
    </w:tbl>
    <w:p w14:paraId="6E344350" w14:textId="77777777">
      <w:pPr>
        <w:pStyle w:val="Caption"/>
        <w:spacing w:after="0"/>
        <w:rPr>
          <w:rFonts w:asciiTheme="minorHAnsi" w:hAnsiTheme="minorHAnsi"/>
          <w:sz w:val="20"/>
          <w:szCs w:val="20"/>
        </w:rPr>
      </w:pPr>
      <w:r>
        <w:rPr>
          <w:rFonts w:asciiTheme="minorHAnsi" w:eastAsia="Arial" w:hAnsiTheme="minorHAnsi" w:cs="Arial"/>
          <w:sz w:val="20"/>
          <w:szCs w:val="20"/>
        </w:rPr>
        <w:t>Table 5. Monte Carlo results from 1,000 independent 200-candidate examination replications (seed 202606).</w:t>
      </w:r>
    </w:p>
    <w:p w14:paraId="66073924" w14:textId="77777777">
      <w:pPr>
        <w:spacing w:after="0"/>
        <w:rPr>
          <w:rFonts w:asciiTheme="minorHAnsi" w:hAnsiTheme="minorHAnsi"/>
          <w:sz w:val="20"/>
          <w:szCs w:val="20"/>
        </w:rPr>
      </w:pPr>
      <w:r>
        <w:rPr>
          <w:rFonts w:asciiTheme="minorHAnsi" w:eastAsia="Arial" w:hAnsiTheme="minorHAnsi" w:cs="Arial"/>
          <w:noProof/>
          <w:sz w:val="20"/>
          <w:szCs w:val="20"/>
        </w:rPr>
        <w:lastRenderedPageBreak/>
        <w:drawing>
          <wp:inline distT="0" distB="0" distL="0" distR="0" wp14:anchorId="2F6E7AAF" wp14:editId="0B2523DF">
            <wp:extent cx="6333389" cy="4267200"/>
            <wp:effectExtent l="0" t="0" r="0" b="0"/>
            <wp:docPr id="3" name="Picture 3" descr="Histogram of shared items across all pairs in one 200-candidate simulation; expected overlap is 9.8 items." title="Pairwise paper overlap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verlap.png"/>
                    <pic:cNvPicPr/>
                  </pic:nvPicPr>
                  <pic:blipFill>
                    <a:blip r:embed="rId15"/>
                    <a:stretch>
                      <a:fillRect/>
                    </a:stretch>
                  </pic:blipFill>
                  <pic:spPr>
                    <a:xfrm>
                      <a:off x="0" y="0"/>
                      <a:ext cx="6344289" cy="4274544"/>
                    </a:xfrm>
                    <a:prstGeom prst="rect">
                      <a:avLst/>
                    </a:prstGeom>
                  </pic:spPr>
                </pic:pic>
              </a:graphicData>
            </a:graphic>
          </wp:inline>
        </w:drawing>
      </w:r>
    </w:p>
    <w:p w14:paraId="3E27F544" w14:textId="77777777">
      <w:pPr>
        <w:pStyle w:val="Caption"/>
        <w:spacing w:after="0"/>
        <w:rPr>
          <w:rFonts w:asciiTheme="minorHAnsi" w:hAnsiTheme="minorHAnsi"/>
          <w:sz w:val="20"/>
          <w:szCs w:val="20"/>
        </w:rPr>
      </w:pPr>
      <w:r>
        <w:rPr>
          <w:rFonts w:asciiTheme="minorHAnsi" w:eastAsia="Arial" w:hAnsiTheme="minorHAnsi" w:cs="Arial"/>
          <w:sz w:val="20"/>
          <w:szCs w:val="20"/>
        </w:rPr>
        <w:t>Figure 3. Distribution of pairwise item overlap in a representative 200-candidate simulated examination.</w:t>
      </w:r>
    </w:p>
    <w:p w14:paraId="1DF90DB8" w14:textId="77777777">
      <w:pPr>
        <w:spacing w:after="0"/>
        <w:rPr>
          <w:rFonts w:asciiTheme="minorHAnsi" w:hAnsiTheme="minorHAnsi"/>
          <w:sz w:val="20"/>
          <w:szCs w:val="20"/>
        </w:rPr>
      </w:pPr>
      <w:r>
        <w:rPr>
          <w:rFonts w:asciiTheme="minorHAnsi" w:eastAsia="Arial" w:hAnsiTheme="minorHAnsi" w:cs="Arial"/>
          <w:noProof/>
          <w:sz w:val="20"/>
          <w:szCs w:val="20"/>
        </w:rPr>
        <w:drawing>
          <wp:inline distT="0" distB="0" distL="0" distR="0" wp14:anchorId="194C610B" wp14:editId="4A4A5564">
            <wp:extent cx="6219825" cy="4303600"/>
            <wp:effectExtent l="0" t="0" r="0" b="1905"/>
            <wp:docPr id="4" name="Picture 4" descr="Histogram showing how many of 200 candidate papers contain each of the 500 items; expected exposure is 28 candidates per item." title="Item exposure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xposure.png"/>
                    <pic:cNvPicPr/>
                  </pic:nvPicPr>
                  <pic:blipFill>
                    <a:blip r:embed="rId16"/>
                    <a:stretch>
                      <a:fillRect/>
                    </a:stretch>
                  </pic:blipFill>
                  <pic:spPr>
                    <a:xfrm>
                      <a:off x="0" y="0"/>
                      <a:ext cx="6233959" cy="4313379"/>
                    </a:xfrm>
                    <a:prstGeom prst="rect">
                      <a:avLst/>
                    </a:prstGeom>
                  </pic:spPr>
                </pic:pic>
              </a:graphicData>
            </a:graphic>
          </wp:inline>
        </w:drawing>
      </w:r>
    </w:p>
    <w:p w14:paraId="7690016A" w14:textId="77777777">
      <w:pPr>
        <w:pStyle w:val="Caption"/>
        <w:spacing w:after="0"/>
        <w:rPr>
          <w:rFonts w:asciiTheme="minorHAnsi" w:hAnsiTheme="minorHAnsi"/>
          <w:sz w:val="20"/>
          <w:szCs w:val="20"/>
        </w:rPr>
      </w:pPr>
      <w:r>
        <w:rPr>
          <w:rFonts w:asciiTheme="minorHAnsi" w:eastAsia="Arial" w:hAnsiTheme="minorHAnsi" w:cs="Arial"/>
          <w:sz w:val="20"/>
          <w:szCs w:val="20"/>
        </w:rPr>
        <w:t>Figure 4. Item exposure distribution for one representative 200-candidate simulated examination.</w:t>
      </w:r>
    </w:p>
    <w:p w14:paraId="0D933AD8" w14:textId="77777777">
      <w:pPr>
        <w:pStyle w:val="Heading1"/>
        <w:spacing w:after="0"/>
        <w:rPr>
          <w:rFonts w:asciiTheme="minorHAnsi" w:hAnsiTheme="minorHAnsi"/>
          <w:sz w:val="20"/>
          <w:szCs w:val="20"/>
        </w:rPr>
      </w:pPr>
      <w:r>
        <w:rPr>
          <w:rFonts w:asciiTheme="minorHAnsi" w:hAnsiTheme="minorHAnsi"/>
          <w:sz w:val="20"/>
          <w:szCs w:val="20"/>
        </w:rPr>
        <w:lastRenderedPageBreak/>
        <w:t>5.4 Content-balance risk under unconstrained randomization</w:t>
      </w:r>
    </w:p>
    <w:p w14:paraId="64452358" w14:textId="77777777">
      <w:pPr>
        <w:spacing w:after="0"/>
        <w:rPr>
          <w:rFonts w:asciiTheme="minorHAnsi" w:hAnsiTheme="minorHAnsi"/>
          <w:sz w:val="20"/>
          <w:szCs w:val="20"/>
        </w:rPr>
      </w:pPr>
      <w:r>
        <w:rPr>
          <w:rFonts w:asciiTheme="minorHAnsi" w:eastAsia="Arial" w:hAnsiTheme="minorHAnsi" w:cs="Arial"/>
          <w:sz w:val="20"/>
          <w:szCs w:val="20"/>
        </w:rPr>
        <w:t>Pure randomization is strong for diversity but does not guarantee equivalent content coverage. In a hypothetical bank divided evenly into five content domains (100 items each), the target balanced paper would contain 14 items per domain. Across 100,000 simulated simple-random papers, 72.7% had at least one domain deviating from 14 by four or more items, and 50.4% deviated by five or more. This is not a flaw in the 500-item bank itself; it shows why high-stakes test assembly should combine randomization with a blueprint (for example, randomly selecting 14 of 100 eligible items within each of five domains). Blueprint-constrained randomization preserves diversity while fixing domain counts.</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9878"/>
      </w:tblGrid>
      <w:tr w14:paraId="350220C2" w14:textId="77777777">
        <w:trPr>
          <w:tblHeader/>
          <w:jc w:val="center"/>
        </w:trPr>
        <w:tc>
          <w:tcPr>
            <w:tcW w:w="9878" w:type="dxa"/>
            <w:tcBorders>
              <w:top w:val="single" w:sz="12" w:space="0" w:color="173BC4"/>
              <w:left w:val="single" w:sz="12" w:space="0" w:color="173BC4"/>
              <w:bottom w:val="single" w:sz="12" w:space="0" w:color="173BC4"/>
              <w:right w:val="single" w:sz="12" w:space="0" w:color="173BC4"/>
            </w:tcBorders>
            <w:shd w:val="clear" w:color="auto" w:fill="F3F6FB"/>
            <w:tcMar>
              <w:top w:w="80" w:type="dxa"/>
              <w:left w:w="90" w:type="dxa"/>
              <w:bottom w:w="80" w:type="dxa"/>
              <w:right w:w="90" w:type="dxa"/>
            </w:tcMar>
          </w:tcPr>
          <w:p w14:paraId="4B69CD9F" w14:textId="77777777">
            <w:pPr>
              <w:spacing w:after="0" w:line="240" w:lineRule="auto"/>
              <w:rPr>
                <w:rFonts w:asciiTheme="minorHAnsi" w:hAnsiTheme="minorHAnsi"/>
                <w:sz w:val="20"/>
                <w:szCs w:val="20"/>
              </w:rPr>
            </w:pPr>
            <w:r>
              <w:rPr>
                <w:rFonts w:asciiTheme="minorHAnsi" w:eastAsia="Arial" w:hAnsiTheme="minorHAnsi" w:cs="Arial"/>
                <w:b/>
                <w:color w:val="173BC4"/>
                <w:sz w:val="20"/>
                <w:szCs w:val="20"/>
              </w:rPr>
              <w:t>Interpretation</w:t>
            </w:r>
            <w:r>
              <w:rPr>
                <w:rFonts w:asciiTheme="minorHAnsi" w:eastAsia="Arial" w:hAnsiTheme="minorHAnsi" w:cs="Arial"/>
                <w:sz w:val="20"/>
                <w:szCs w:val="20"/>
              </w:rPr>
              <w:br/>
              <w:t>Security randomization and content equivalence are separate design objectives. A paper can be highly unique yet educationally unbalanced. The preferred production rule is therefore random selection within curriculum/blueprint strata, not unrestricted random selection across the entire bank.</w:t>
            </w:r>
          </w:p>
        </w:tc>
      </w:tr>
    </w:tbl>
    <w:p w14:paraId="2DAF7DB5" w14:textId="77777777">
      <w:pPr>
        <w:pStyle w:val="Heading1"/>
        <w:spacing w:after="0"/>
        <w:rPr>
          <w:rFonts w:asciiTheme="minorHAnsi" w:hAnsiTheme="minorHAnsi"/>
          <w:sz w:val="20"/>
          <w:szCs w:val="20"/>
        </w:rPr>
      </w:pPr>
      <w:r>
        <w:rPr>
          <w:rFonts w:asciiTheme="minorHAnsi" w:hAnsiTheme="minorHAnsi"/>
          <w:sz w:val="20"/>
          <w:szCs w:val="20"/>
        </w:rPr>
        <w:t>5.5 Sensitivity to question-bank size</w:t>
      </w:r>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1728"/>
        <w:gridCol w:w="2304"/>
        <w:gridCol w:w="2448"/>
        <w:gridCol w:w="3024"/>
      </w:tblGrid>
      <w:tr w14:paraId="5E15613C" w14:textId="77777777">
        <w:trPr>
          <w:tblHeader/>
          <w:jc w:val="center"/>
        </w:trPr>
        <w:tc>
          <w:tcPr>
            <w:tcW w:w="1728" w:type="dxa"/>
            <w:shd w:val="clear" w:color="auto" w:fill="071A45"/>
            <w:tcMar>
              <w:top w:w="80" w:type="dxa"/>
              <w:left w:w="90" w:type="dxa"/>
              <w:bottom w:w="80" w:type="dxa"/>
              <w:right w:w="90" w:type="dxa"/>
            </w:tcMar>
            <w:vAlign w:val="center"/>
          </w:tcPr>
          <w:p w14:paraId="40764A51"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Bank size</w:t>
            </w:r>
          </w:p>
        </w:tc>
        <w:tc>
          <w:tcPr>
            <w:tcW w:w="2304" w:type="dxa"/>
            <w:shd w:val="clear" w:color="auto" w:fill="071A45"/>
            <w:tcMar>
              <w:top w:w="80" w:type="dxa"/>
              <w:left w:w="90" w:type="dxa"/>
              <w:bottom w:w="80" w:type="dxa"/>
              <w:right w:w="90" w:type="dxa"/>
            </w:tcMar>
            <w:vAlign w:val="center"/>
          </w:tcPr>
          <w:p w14:paraId="150DDCCC"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Expected overlap</w:t>
            </w:r>
          </w:p>
        </w:tc>
        <w:tc>
          <w:tcPr>
            <w:tcW w:w="2448" w:type="dxa"/>
            <w:shd w:val="clear" w:color="auto" w:fill="071A45"/>
            <w:tcMar>
              <w:top w:w="80" w:type="dxa"/>
              <w:left w:w="90" w:type="dxa"/>
              <w:bottom w:w="80" w:type="dxa"/>
              <w:right w:w="90" w:type="dxa"/>
            </w:tcMar>
            <w:vAlign w:val="center"/>
          </w:tcPr>
          <w:p w14:paraId="4FDC29A4" w14:textId="77777777">
            <w:pPr>
              <w:spacing w:after="0" w:line="240" w:lineRule="auto"/>
              <w:rPr>
                <w:rFonts w:asciiTheme="minorHAnsi" w:hAnsiTheme="minorHAnsi"/>
                <w:sz w:val="20"/>
                <w:szCs w:val="20"/>
              </w:rPr>
            </w:pPr>
            <w:proofErr w:type="gramStart"/>
            <w:r>
              <w:rPr>
                <w:rFonts w:asciiTheme="minorHAnsi" w:eastAsia="Arial" w:hAnsiTheme="minorHAnsi" w:cs="Arial"/>
                <w:b/>
                <w:color w:val="FFFFFF"/>
                <w:sz w:val="20"/>
                <w:szCs w:val="20"/>
              </w:rPr>
              <w:t>P(</w:t>
            </w:r>
            <w:proofErr w:type="gramEnd"/>
            <w:r>
              <w:rPr>
                <w:rFonts w:asciiTheme="minorHAnsi" w:eastAsia="Arial" w:hAnsiTheme="minorHAnsi" w:cs="Arial"/>
                <w:b/>
                <w:color w:val="FFFFFF"/>
                <w:sz w:val="20"/>
                <w:szCs w:val="20"/>
              </w:rPr>
              <w:t>overlap ≥20)</w:t>
            </w:r>
          </w:p>
        </w:tc>
        <w:tc>
          <w:tcPr>
            <w:tcW w:w="3024" w:type="dxa"/>
            <w:shd w:val="clear" w:color="auto" w:fill="071A45"/>
            <w:tcMar>
              <w:top w:w="80" w:type="dxa"/>
              <w:left w:w="90" w:type="dxa"/>
              <w:bottom w:w="80" w:type="dxa"/>
              <w:right w:w="90" w:type="dxa"/>
            </w:tcMar>
            <w:vAlign w:val="center"/>
          </w:tcPr>
          <w:p w14:paraId="4C3666DF"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log10 possible forms</w:t>
            </w:r>
          </w:p>
        </w:tc>
      </w:tr>
      <w:tr w14:paraId="051658C2" w14:textId="77777777">
        <w:trPr>
          <w:jc w:val="center"/>
        </w:trPr>
        <w:tc>
          <w:tcPr>
            <w:tcW w:w="1728" w:type="dxa"/>
            <w:tcMar>
              <w:top w:w="80" w:type="dxa"/>
              <w:left w:w="90" w:type="dxa"/>
              <w:bottom w:w="80" w:type="dxa"/>
              <w:right w:w="90" w:type="dxa"/>
            </w:tcMar>
          </w:tcPr>
          <w:p w14:paraId="75402E09" w14:textId="77777777">
            <w:pPr>
              <w:spacing w:after="0" w:line="240" w:lineRule="auto"/>
              <w:rPr>
                <w:rFonts w:asciiTheme="minorHAnsi" w:hAnsiTheme="minorHAnsi"/>
                <w:sz w:val="20"/>
                <w:szCs w:val="20"/>
              </w:rPr>
            </w:pPr>
            <w:r>
              <w:rPr>
                <w:rFonts w:asciiTheme="minorHAnsi" w:eastAsia="Arial" w:hAnsiTheme="minorHAnsi" w:cs="Arial"/>
                <w:sz w:val="20"/>
                <w:szCs w:val="20"/>
              </w:rPr>
              <w:t>300</w:t>
            </w:r>
          </w:p>
        </w:tc>
        <w:tc>
          <w:tcPr>
            <w:tcW w:w="2304" w:type="dxa"/>
            <w:tcMar>
              <w:top w:w="80" w:type="dxa"/>
              <w:left w:w="90" w:type="dxa"/>
              <w:bottom w:w="80" w:type="dxa"/>
              <w:right w:w="90" w:type="dxa"/>
            </w:tcMar>
          </w:tcPr>
          <w:p w14:paraId="3A32F70C" w14:textId="77777777">
            <w:pPr>
              <w:spacing w:after="0" w:line="240" w:lineRule="auto"/>
              <w:rPr>
                <w:rFonts w:asciiTheme="minorHAnsi" w:hAnsiTheme="minorHAnsi"/>
                <w:sz w:val="20"/>
                <w:szCs w:val="20"/>
              </w:rPr>
            </w:pPr>
            <w:r>
              <w:rPr>
                <w:rFonts w:asciiTheme="minorHAnsi" w:eastAsia="Arial" w:hAnsiTheme="minorHAnsi" w:cs="Arial"/>
                <w:sz w:val="20"/>
                <w:szCs w:val="20"/>
              </w:rPr>
              <w:t>16.33</w:t>
            </w:r>
          </w:p>
        </w:tc>
        <w:tc>
          <w:tcPr>
            <w:tcW w:w="2448" w:type="dxa"/>
            <w:tcMar>
              <w:top w:w="80" w:type="dxa"/>
              <w:left w:w="90" w:type="dxa"/>
              <w:bottom w:w="80" w:type="dxa"/>
              <w:right w:w="90" w:type="dxa"/>
            </w:tcMar>
          </w:tcPr>
          <w:p w14:paraId="503C50DD" w14:textId="77777777">
            <w:pPr>
              <w:spacing w:after="0" w:line="240" w:lineRule="auto"/>
              <w:rPr>
                <w:rFonts w:asciiTheme="minorHAnsi" w:hAnsiTheme="minorHAnsi"/>
                <w:sz w:val="20"/>
                <w:szCs w:val="20"/>
              </w:rPr>
            </w:pPr>
            <w:r>
              <w:rPr>
                <w:rFonts w:asciiTheme="minorHAnsi" w:eastAsia="Arial" w:hAnsiTheme="minorHAnsi" w:cs="Arial"/>
                <w:sz w:val="20"/>
                <w:szCs w:val="20"/>
              </w:rPr>
              <w:t>1.534e-01</w:t>
            </w:r>
          </w:p>
        </w:tc>
        <w:tc>
          <w:tcPr>
            <w:tcW w:w="3024" w:type="dxa"/>
            <w:tcMar>
              <w:top w:w="80" w:type="dxa"/>
              <w:left w:w="90" w:type="dxa"/>
              <w:bottom w:w="80" w:type="dxa"/>
              <w:right w:w="90" w:type="dxa"/>
            </w:tcMar>
          </w:tcPr>
          <w:p w14:paraId="34F70F65" w14:textId="77777777">
            <w:pPr>
              <w:spacing w:after="0" w:line="240" w:lineRule="auto"/>
              <w:rPr>
                <w:rFonts w:asciiTheme="minorHAnsi" w:hAnsiTheme="minorHAnsi"/>
                <w:sz w:val="20"/>
                <w:szCs w:val="20"/>
              </w:rPr>
            </w:pPr>
            <w:r>
              <w:rPr>
                <w:rFonts w:asciiTheme="minorHAnsi" w:eastAsia="Arial" w:hAnsiTheme="minorHAnsi" w:cs="Arial"/>
                <w:sz w:val="20"/>
                <w:szCs w:val="20"/>
              </w:rPr>
              <w:t>69.52</w:t>
            </w:r>
          </w:p>
        </w:tc>
      </w:tr>
      <w:tr w14:paraId="6A09A25A" w14:textId="77777777">
        <w:trPr>
          <w:jc w:val="center"/>
        </w:trPr>
        <w:tc>
          <w:tcPr>
            <w:tcW w:w="1728" w:type="dxa"/>
            <w:shd w:val="clear" w:color="auto" w:fill="F3F6FB"/>
            <w:tcMar>
              <w:top w:w="80" w:type="dxa"/>
              <w:left w:w="90" w:type="dxa"/>
              <w:bottom w:w="80" w:type="dxa"/>
              <w:right w:w="90" w:type="dxa"/>
            </w:tcMar>
          </w:tcPr>
          <w:p w14:paraId="4557AD65" w14:textId="77777777">
            <w:pPr>
              <w:spacing w:after="0" w:line="240" w:lineRule="auto"/>
              <w:rPr>
                <w:rFonts w:asciiTheme="minorHAnsi" w:hAnsiTheme="minorHAnsi"/>
                <w:sz w:val="20"/>
                <w:szCs w:val="20"/>
              </w:rPr>
            </w:pPr>
            <w:r>
              <w:rPr>
                <w:rFonts w:asciiTheme="minorHAnsi" w:eastAsia="Arial" w:hAnsiTheme="minorHAnsi" w:cs="Arial"/>
                <w:sz w:val="20"/>
                <w:szCs w:val="20"/>
              </w:rPr>
              <w:t>400</w:t>
            </w:r>
          </w:p>
        </w:tc>
        <w:tc>
          <w:tcPr>
            <w:tcW w:w="2304" w:type="dxa"/>
            <w:shd w:val="clear" w:color="auto" w:fill="F3F6FB"/>
            <w:tcMar>
              <w:top w:w="80" w:type="dxa"/>
              <w:left w:w="90" w:type="dxa"/>
              <w:bottom w:w="80" w:type="dxa"/>
              <w:right w:w="90" w:type="dxa"/>
            </w:tcMar>
          </w:tcPr>
          <w:p w14:paraId="4FA3C7E5" w14:textId="77777777">
            <w:pPr>
              <w:spacing w:after="0" w:line="240" w:lineRule="auto"/>
              <w:rPr>
                <w:rFonts w:asciiTheme="minorHAnsi" w:hAnsiTheme="minorHAnsi"/>
                <w:sz w:val="20"/>
                <w:szCs w:val="20"/>
              </w:rPr>
            </w:pPr>
            <w:r>
              <w:rPr>
                <w:rFonts w:asciiTheme="minorHAnsi" w:eastAsia="Arial" w:hAnsiTheme="minorHAnsi" w:cs="Arial"/>
                <w:sz w:val="20"/>
                <w:szCs w:val="20"/>
              </w:rPr>
              <w:t>12.25</w:t>
            </w:r>
          </w:p>
        </w:tc>
        <w:tc>
          <w:tcPr>
            <w:tcW w:w="2448" w:type="dxa"/>
            <w:shd w:val="clear" w:color="auto" w:fill="F3F6FB"/>
            <w:tcMar>
              <w:top w:w="80" w:type="dxa"/>
              <w:left w:w="90" w:type="dxa"/>
              <w:bottom w:w="80" w:type="dxa"/>
              <w:right w:w="90" w:type="dxa"/>
            </w:tcMar>
          </w:tcPr>
          <w:p w14:paraId="59386B9D" w14:textId="77777777">
            <w:pPr>
              <w:spacing w:after="0" w:line="240" w:lineRule="auto"/>
              <w:rPr>
                <w:rFonts w:asciiTheme="minorHAnsi" w:hAnsiTheme="minorHAnsi"/>
                <w:sz w:val="20"/>
                <w:szCs w:val="20"/>
              </w:rPr>
            </w:pPr>
            <w:r>
              <w:rPr>
                <w:rFonts w:asciiTheme="minorHAnsi" w:eastAsia="Arial" w:hAnsiTheme="minorHAnsi" w:cs="Arial"/>
                <w:sz w:val="20"/>
                <w:szCs w:val="20"/>
              </w:rPr>
              <w:t>7.917e-03</w:t>
            </w:r>
          </w:p>
        </w:tc>
        <w:tc>
          <w:tcPr>
            <w:tcW w:w="3024" w:type="dxa"/>
            <w:shd w:val="clear" w:color="auto" w:fill="F3F6FB"/>
            <w:tcMar>
              <w:top w:w="80" w:type="dxa"/>
              <w:left w:w="90" w:type="dxa"/>
              <w:bottom w:w="80" w:type="dxa"/>
              <w:right w:w="90" w:type="dxa"/>
            </w:tcMar>
          </w:tcPr>
          <w:p w14:paraId="6485548D" w14:textId="77777777">
            <w:pPr>
              <w:spacing w:after="0" w:line="240" w:lineRule="auto"/>
              <w:rPr>
                <w:rFonts w:asciiTheme="minorHAnsi" w:hAnsiTheme="minorHAnsi"/>
                <w:sz w:val="20"/>
                <w:szCs w:val="20"/>
              </w:rPr>
            </w:pPr>
            <w:r>
              <w:rPr>
                <w:rFonts w:asciiTheme="minorHAnsi" w:eastAsia="Arial" w:hAnsiTheme="minorHAnsi" w:cs="Arial"/>
                <w:sz w:val="20"/>
                <w:szCs w:val="20"/>
              </w:rPr>
              <w:t>79.28</w:t>
            </w:r>
          </w:p>
        </w:tc>
      </w:tr>
      <w:tr w14:paraId="227B6FC1" w14:textId="77777777">
        <w:trPr>
          <w:jc w:val="center"/>
        </w:trPr>
        <w:tc>
          <w:tcPr>
            <w:tcW w:w="1728" w:type="dxa"/>
            <w:tcMar>
              <w:top w:w="80" w:type="dxa"/>
              <w:left w:w="90" w:type="dxa"/>
              <w:bottom w:w="80" w:type="dxa"/>
              <w:right w:w="90" w:type="dxa"/>
            </w:tcMar>
          </w:tcPr>
          <w:p w14:paraId="0EA63D93" w14:textId="77777777">
            <w:pPr>
              <w:spacing w:after="0" w:line="240" w:lineRule="auto"/>
              <w:rPr>
                <w:rFonts w:asciiTheme="minorHAnsi" w:hAnsiTheme="minorHAnsi"/>
                <w:sz w:val="20"/>
                <w:szCs w:val="20"/>
              </w:rPr>
            </w:pPr>
            <w:r>
              <w:rPr>
                <w:rFonts w:asciiTheme="minorHAnsi" w:eastAsia="Arial" w:hAnsiTheme="minorHAnsi" w:cs="Arial"/>
                <w:sz w:val="20"/>
                <w:szCs w:val="20"/>
              </w:rPr>
              <w:t>500</w:t>
            </w:r>
          </w:p>
        </w:tc>
        <w:tc>
          <w:tcPr>
            <w:tcW w:w="2304" w:type="dxa"/>
            <w:tcMar>
              <w:top w:w="80" w:type="dxa"/>
              <w:left w:w="90" w:type="dxa"/>
              <w:bottom w:w="80" w:type="dxa"/>
              <w:right w:w="90" w:type="dxa"/>
            </w:tcMar>
          </w:tcPr>
          <w:p w14:paraId="1A94F2F1" w14:textId="77777777">
            <w:pPr>
              <w:spacing w:after="0" w:line="240" w:lineRule="auto"/>
              <w:rPr>
                <w:rFonts w:asciiTheme="minorHAnsi" w:hAnsiTheme="minorHAnsi"/>
                <w:sz w:val="20"/>
                <w:szCs w:val="20"/>
              </w:rPr>
            </w:pPr>
            <w:r>
              <w:rPr>
                <w:rFonts w:asciiTheme="minorHAnsi" w:eastAsia="Arial" w:hAnsiTheme="minorHAnsi" w:cs="Arial"/>
                <w:sz w:val="20"/>
                <w:szCs w:val="20"/>
              </w:rPr>
              <w:t>9.80</w:t>
            </w:r>
          </w:p>
        </w:tc>
        <w:tc>
          <w:tcPr>
            <w:tcW w:w="2448" w:type="dxa"/>
            <w:tcMar>
              <w:top w:w="80" w:type="dxa"/>
              <w:left w:w="90" w:type="dxa"/>
              <w:bottom w:w="80" w:type="dxa"/>
              <w:right w:w="90" w:type="dxa"/>
            </w:tcMar>
          </w:tcPr>
          <w:p w14:paraId="5F38C66A" w14:textId="77777777">
            <w:pPr>
              <w:spacing w:after="0" w:line="240" w:lineRule="auto"/>
              <w:rPr>
                <w:rFonts w:asciiTheme="minorHAnsi" w:hAnsiTheme="minorHAnsi"/>
                <w:sz w:val="20"/>
                <w:szCs w:val="20"/>
              </w:rPr>
            </w:pPr>
            <w:r>
              <w:rPr>
                <w:rFonts w:asciiTheme="minorHAnsi" w:eastAsia="Arial" w:hAnsiTheme="minorHAnsi" w:cs="Arial"/>
                <w:sz w:val="20"/>
                <w:szCs w:val="20"/>
              </w:rPr>
              <w:t>4.175e-04</w:t>
            </w:r>
          </w:p>
        </w:tc>
        <w:tc>
          <w:tcPr>
            <w:tcW w:w="3024" w:type="dxa"/>
            <w:tcMar>
              <w:top w:w="80" w:type="dxa"/>
              <w:left w:w="90" w:type="dxa"/>
              <w:bottom w:w="80" w:type="dxa"/>
              <w:right w:w="90" w:type="dxa"/>
            </w:tcMar>
          </w:tcPr>
          <w:p w14:paraId="2020B98F" w14:textId="77777777">
            <w:pPr>
              <w:spacing w:after="0" w:line="240" w:lineRule="auto"/>
              <w:rPr>
                <w:rFonts w:asciiTheme="minorHAnsi" w:hAnsiTheme="minorHAnsi"/>
                <w:sz w:val="20"/>
                <w:szCs w:val="20"/>
              </w:rPr>
            </w:pPr>
            <w:r>
              <w:rPr>
                <w:rFonts w:asciiTheme="minorHAnsi" w:eastAsia="Arial" w:hAnsiTheme="minorHAnsi" w:cs="Arial"/>
                <w:sz w:val="20"/>
                <w:szCs w:val="20"/>
              </w:rPr>
              <w:t>86.65</w:t>
            </w:r>
          </w:p>
        </w:tc>
      </w:tr>
      <w:tr w14:paraId="4D63C42F" w14:textId="77777777">
        <w:trPr>
          <w:jc w:val="center"/>
        </w:trPr>
        <w:tc>
          <w:tcPr>
            <w:tcW w:w="1728" w:type="dxa"/>
            <w:shd w:val="clear" w:color="auto" w:fill="F3F6FB"/>
            <w:tcMar>
              <w:top w:w="80" w:type="dxa"/>
              <w:left w:w="90" w:type="dxa"/>
              <w:bottom w:w="80" w:type="dxa"/>
              <w:right w:w="90" w:type="dxa"/>
            </w:tcMar>
          </w:tcPr>
          <w:p w14:paraId="747AF98E" w14:textId="77777777">
            <w:pPr>
              <w:spacing w:after="0" w:line="240" w:lineRule="auto"/>
              <w:rPr>
                <w:rFonts w:asciiTheme="minorHAnsi" w:hAnsiTheme="minorHAnsi"/>
                <w:sz w:val="20"/>
                <w:szCs w:val="20"/>
              </w:rPr>
            </w:pPr>
            <w:r>
              <w:rPr>
                <w:rFonts w:asciiTheme="minorHAnsi" w:eastAsia="Arial" w:hAnsiTheme="minorHAnsi" w:cs="Arial"/>
                <w:sz w:val="20"/>
                <w:szCs w:val="20"/>
              </w:rPr>
              <w:t>750</w:t>
            </w:r>
          </w:p>
        </w:tc>
        <w:tc>
          <w:tcPr>
            <w:tcW w:w="2304" w:type="dxa"/>
            <w:shd w:val="clear" w:color="auto" w:fill="F3F6FB"/>
            <w:tcMar>
              <w:top w:w="80" w:type="dxa"/>
              <w:left w:w="90" w:type="dxa"/>
              <w:bottom w:w="80" w:type="dxa"/>
              <w:right w:w="90" w:type="dxa"/>
            </w:tcMar>
          </w:tcPr>
          <w:p w14:paraId="2CC4B080" w14:textId="77777777">
            <w:pPr>
              <w:spacing w:after="0" w:line="240" w:lineRule="auto"/>
              <w:rPr>
                <w:rFonts w:asciiTheme="minorHAnsi" w:hAnsiTheme="minorHAnsi"/>
                <w:sz w:val="20"/>
                <w:szCs w:val="20"/>
              </w:rPr>
            </w:pPr>
            <w:r>
              <w:rPr>
                <w:rFonts w:asciiTheme="minorHAnsi" w:eastAsia="Arial" w:hAnsiTheme="minorHAnsi" w:cs="Arial"/>
                <w:sz w:val="20"/>
                <w:szCs w:val="20"/>
              </w:rPr>
              <w:t>6.53</w:t>
            </w:r>
          </w:p>
        </w:tc>
        <w:tc>
          <w:tcPr>
            <w:tcW w:w="2448" w:type="dxa"/>
            <w:shd w:val="clear" w:color="auto" w:fill="F3F6FB"/>
            <w:tcMar>
              <w:top w:w="80" w:type="dxa"/>
              <w:left w:w="90" w:type="dxa"/>
              <w:bottom w:w="80" w:type="dxa"/>
              <w:right w:w="90" w:type="dxa"/>
            </w:tcMar>
          </w:tcPr>
          <w:p w14:paraId="10B3F858" w14:textId="77777777">
            <w:pPr>
              <w:spacing w:after="0" w:line="240" w:lineRule="auto"/>
              <w:rPr>
                <w:rFonts w:asciiTheme="minorHAnsi" w:hAnsiTheme="minorHAnsi"/>
                <w:sz w:val="20"/>
                <w:szCs w:val="20"/>
              </w:rPr>
            </w:pPr>
            <w:r>
              <w:rPr>
                <w:rFonts w:asciiTheme="minorHAnsi" w:eastAsia="Arial" w:hAnsiTheme="minorHAnsi" w:cs="Arial"/>
                <w:sz w:val="20"/>
                <w:szCs w:val="20"/>
              </w:rPr>
              <w:t>8.059e-07</w:t>
            </w:r>
          </w:p>
        </w:tc>
        <w:tc>
          <w:tcPr>
            <w:tcW w:w="3024" w:type="dxa"/>
            <w:shd w:val="clear" w:color="auto" w:fill="F3F6FB"/>
            <w:tcMar>
              <w:top w:w="80" w:type="dxa"/>
              <w:left w:w="90" w:type="dxa"/>
              <w:bottom w:w="80" w:type="dxa"/>
              <w:right w:w="90" w:type="dxa"/>
            </w:tcMar>
          </w:tcPr>
          <w:p w14:paraId="634AF347" w14:textId="77777777">
            <w:pPr>
              <w:spacing w:after="0" w:line="240" w:lineRule="auto"/>
              <w:rPr>
                <w:rFonts w:asciiTheme="minorHAnsi" w:hAnsiTheme="minorHAnsi"/>
                <w:sz w:val="20"/>
                <w:szCs w:val="20"/>
              </w:rPr>
            </w:pPr>
            <w:r>
              <w:rPr>
                <w:rFonts w:asciiTheme="minorHAnsi" w:eastAsia="Arial" w:hAnsiTheme="minorHAnsi" w:cs="Arial"/>
                <w:sz w:val="20"/>
                <w:szCs w:val="20"/>
              </w:rPr>
              <w:t>99.73</w:t>
            </w:r>
          </w:p>
        </w:tc>
      </w:tr>
      <w:tr w14:paraId="5CD6658B" w14:textId="77777777">
        <w:trPr>
          <w:jc w:val="center"/>
        </w:trPr>
        <w:tc>
          <w:tcPr>
            <w:tcW w:w="1728" w:type="dxa"/>
            <w:tcMar>
              <w:top w:w="80" w:type="dxa"/>
              <w:left w:w="90" w:type="dxa"/>
              <w:bottom w:w="80" w:type="dxa"/>
              <w:right w:w="90" w:type="dxa"/>
            </w:tcMar>
          </w:tcPr>
          <w:p w14:paraId="076A0D4E" w14:textId="77777777">
            <w:pPr>
              <w:spacing w:after="0" w:line="240" w:lineRule="auto"/>
              <w:rPr>
                <w:rFonts w:asciiTheme="minorHAnsi" w:hAnsiTheme="minorHAnsi"/>
                <w:sz w:val="20"/>
                <w:szCs w:val="20"/>
              </w:rPr>
            </w:pPr>
            <w:r>
              <w:rPr>
                <w:rFonts w:asciiTheme="minorHAnsi" w:eastAsia="Arial" w:hAnsiTheme="minorHAnsi" w:cs="Arial"/>
                <w:sz w:val="20"/>
                <w:szCs w:val="20"/>
              </w:rPr>
              <w:t>1000</w:t>
            </w:r>
          </w:p>
        </w:tc>
        <w:tc>
          <w:tcPr>
            <w:tcW w:w="2304" w:type="dxa"/>
            <w:tcMar>
              <w:top w:w="80" w:type="dxa"/>
              <w:left w:w="90" w:type="dxa"/>
              <w:bottom w:w="80" w:type="dxa"/>
              <w:right w:w="90" w:type="dxa"/>
            </w:tcMar>
          </w:tcPr>
          <w:p w14:paraId="0A8D0EBB" w14:textId="77777777">
            <w:pPr>
              <w:spacing w:after="0" w:line="240" w:lineRule="auto"/>
              <w:rPr>
                <w:rFonts w:asciiTheme="minorHAnsi" w:hAnsiTheme="minorHAnsi"/>
                <w:sz w:val="20"/>
                <w:szCs w:val="20"/>
              </w:rPr>
            </w:pPr>
            <w:r>
              <w:rPr>
                <w:rFonts w:asciiTheme="minorHAnsi" w:eastAsia="Arial" w:hAnsiTheme="minorHAnsi" w:cs="Arial"/>
                <w:sz w:val="20"/>
                <w:szCs w:val="20"/>
              </w:rPr>
              <w:t>4.90</w:t>
            </w:r>
          </w:p>
        </w:tc>
        <w:tc>
          <w:tcPr>
            <w:tcW w:w="2448" w:type="dxa"/>
            <w:tcMar>
              <w:top w:w="80" w:type="dxa"/>
              <w:left w:w="90" w:type="dxa"/>
              <w:bottom w:w="80" w:type="dxa"/>
              <w:right w:w="90" w:type="dxa"/>
            </w:tcMar>
          </w:tcPr>
          <w:p w14:paraId="607AC18C" w14:textId="77777777">
            <w:pPr>
              <w:spacing w:after="0" w:line="240" w:lineRule="auto"/>
              <w:rPr>
                <w:rFonts w:asciiTheme="minorHAnsi" w:hAnsiTheme="minorHAnsi"/>
                <w:sz w:val="20"/>
                <w:szCs w:val="20"/>
              </w:rPr>
            </w:pPr>
            <w:r>
              <w:rPr>
                <w:rFonts w:asciiTheme="minorHAnsi" w:eastAsia="Arial" w:hAnsiTheme="minorHAnsi" w:cs="Arial"/>
                <w:sz w:val="20"/>
                <w:szCs w:val="20"/>
              </w:rPr>
              <w:t>6.059e-09</w:t>
            </w:r>
          </w:p>
        </w:tc>
        <w:tc>
          <w:tcPr>
            <w:tcW w:w="3024" w:type="dxa"/>
            <w:tcMar>
              <w:top w:w="80" w:type="dxa"/>
              <w:left w:w="90" w:type="dxa"/>
              <w:bottom w:w="80" w:type="dxa"/>
              <w:right w:w="90" w:type="dxa"/>
            </w:tcMar>
          </w:tcPr>
          <w:p w14:paraId="605FF8BD" w14:textId="77777777">
            <w:pPr>
              <w:spacing w:after="0" w:line="240" w:lineRule="auto"/>
              <w:rPr>
                <w:rFonts w:asciiTheme="minorHAnsi" w:hAnsiTheme="minorHAnsi"/>
                <w:sz w:val="20"/>
                <w:szCs w:val="20"/>
              </w:rPr>
            </w:pPr>
            <w:r>
              <w:rPr>
                <w:rFonts w:asciiTheme="minorHAnsi" w:eastAsia="Arial" w:hAnsiTheme="minorHAnsi" w:cs="Arial"/>
                <w:sz w:val="20"/>
                <w:szCs w:val="20"/>
              </w:rPr>
              <w:t>108.85</w:t>
            </w:r>
          </w:p>
        </w:tc>
      </w:tr>
    </w:tbl>
    <w:p w14:paraId="28025B24" w14:textId="77777777">
      <w:pPr>
        <w:pStyle w:val="Caption"/>
        <w:spacing w:after="0"/>
        <w:rPr>
          <w:rFonts w:asciiTheme="minorHAnsi" w:hAnsiTheme="minorHAnsi"/>
          <w:sz w:val="20"/>
          <w:szCs w:val="20"/>
        </w:rPr>
      </w:pPr>
      <w:r>
        <w:rPr>
          <w:rFonts w:asciiTheme="minorHAnsi" w:eastAsia="Arial" w:hAnsiTheme="minorHAnsi" w:cs="Arial"/>
          <w:sz w:val="20"/>
          <w:szCs w:val="20"/>
        </w:rPr>
        <w:t>Table 6. Sensitivity of 70-item paper diversity to subject-bank size.</w:t>
      </w:r>
    </w:p>
    <w:p w14:paraId="7D6F3F27" w14:textId="77777777">
      <w:pPr>
        <w:spacing w:after="0"/>
        <w:rPr>
          <w:rFonts w:asciiTheme="minorHAnsi" w:hAnsiTheme="minorHAnsi"/>
          <w:sz w:val="20"/>
          <w:szCs w:val="20"/>
        </w:rPr>
      </w:pPr>
      <w:r>
        <w:rPr>
          <w:rFonts w:asciiTheme="minorHAnsi" w:eastAsia="Arial" w:hAnsiTheme="minorHAnsi" w:cs="Arial"/>
          <w:noProof/>
          <w:sz w:val="20"/>
          <w:szCs w:val="20"/>
        </w:rPr>
        <w:drawing>
          <wp:inline distT="0" distB="0" distL="0" distR="0" wp14:anchorId="334B0D29" wp14:editId="7CA2B178">
            <wp:extent cx="6162675" cy="4264057"/>
            <wp:effectExtent l="0" t="0" r="0" b="3175"/>
            <wp:docPr id="5" name="Picture 5" descr="Expected overlap between two 70-item papers decreases as the bank grows from 300 to 1000 items." title="Bank size sensitivity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ensitivity.png"/>
                    <pic:cNvPicPr/>
                  </pic:nvPicPr>
                  <pic:blipFill>
                    <a:blip r:embed="rId17"/>
                    <a:stretch>
                      <a:fillRect/>
                    </a:stretch>
                  </pic:blipFill>
                  <pic:spPr>
                    <a:xfrm>
                      <a:off x="0" y="0"/>
                      <a:ext cx="6165810" cy="4266226"/>
                    </a:xfrm>
                    <a:prstGeom prst="rect">
                      <a:avLst/>
                    </a:prstGeom>
                  </pic:spPr>
                </pic:pic>
              </a:graphicData>
            </a:graphic>
          </wp:inline>
        </w:drawing>
      </w:r>
    </w:p>
    <w:p w14:paraId="2FD6BB85" w14:textId="77777777">
      <w:pPr>
        <w:pStyle w:val="Caption"/>
        <w:spacing w:after="0"/>
        <w:rPr>
          <w:rFonts w:asciiTheme="minorHAnsi" w:hAnsiTheme="minorHAnsi"/>
          <w:sz w:val="20"/>
          <w:szCs w:val="20"/>
        </w:rPr>
      </w:pPr>
      <w:r>
        <w:rPr>
          <w:rFonts w:asciiTheme="minorHAnsi" w:eastAsia="Arial" w:hAnsiTheme="minorHAnsi" w:cs="Arial"/>
          <w:sz w:val="20"/>
          <w:szCs w:val="20"/>
        </w:rPr>
        <w:t>Figure 5. Expected pairwise overlap falls rapidly as the item bank becomes larger.</w:t>
      </w:r>
    </w:p>
    <w:p w14:paraId="5BE4BD00" w14:textId="77777777">
      <w:pPr>
        <w:pStyle w:val="Heading1"/>
        <w:spacing w:after="0"/>
        <w:jc w:val="both"/>
        <w:rPr>
          <w:rFonts w:asciiTheme="minorHAnsi" w:hAnsiTheme="minorHAnsi"/>
          <w:sz w:val="20"/>
          <w:szCs w:val="20"/>
        </w:rPr>
      </w:pPr>
      <w:r>
        <w:rPr>
          <w:rFonts w:asciiTheme="minorHAnsi" w:hAnsiTheme="minorHAnsi"/>
          <w:sz w:val="20"/>
          <w:szCs w:val="20"/>
        </w:rPr>
        <w:lastRenderedPageBreak/>
        <w:t>6. Discussion</w:t>
      </w:r>
    </w:p>
    <w:p w14:paraId="7133811D" w14:textId="77777777">
      <w:pPr>
        <w:pStyle w:val="Heading1"/>
        <w:spacing w:after="0"/>
        <w:jc w:val="both"/>
        <w:rPr>
          <w:rFonts w:asciiTheme="minorHAnsi" w:hAnsiTheme="minorHAnsi"/>
          <w:sz w:val="20"/>
          <w:szCs w:val="20"/>
        </w:rPr>
      </w:pPr>
      <w:r>
        <w:rPr>
          <w:rFonts w:asciiTheme="minorHAnsi" w:hAnsiTheme="minorHAnsi"/>
          <w:sz w:val="20"/>
          <w:szCs w:val="20"/>
        </w:rPr>
        <w:t>6.1 What the 500-to-70 architecture achieves</w:t>
      </w:r>
    </w:p>
    <w:p w14:paraId="5FED26C0" w14:textId="77777777">
      <w:pPr>
        <w:spacing w:after="0"/>
        <w:jc w:val="both"/>
        <w:rPr>
          <w:rFonts w:asciiTheme="minorHAnsi" w:hAnsiTheme="minorHAnsi"/>
          <w:sz w:val="20"/>
          <w:szCs w:val="20"/>
        </w:rPr>
      </w:pPr>
      <w:r>
        <w:rPr>
          <w:rFonts w:asciiTheme="minorHAnsi" w:eastAsia="Arial" w:hAnsiTheme="minorHAnsi" w:cs="Arial"/>
          <w:sz w:val="20"/>
          <w:szCs w:val="20"/>
        </w:rPr>
        <w:t>The strongest quantitative finding is that the configured bank is already large enough to make exact duplicate papers effectively impossible for a 200-candidate sitting. Approximately 4.439×10^86 unordered forms are possible, vastly exceeding the cohort size. More importantly, security does not depend only on exact duplicates: candidate pairs share an expected 9.8 questions, and overlap of 20 or more items is very uncommon under the model. This means that even when adjacent candidates see some of the same curriculum content, the majority of each paper is different. Such diversity directly reduces the utility of simple answer copying and fixed-form memorization.</w:t>
      </w:r>
    </w:p>
    <w:p w14:paraId="27F47F46" w14:textId="77777777">
      <w:pPr>
        <w:pStyle w:val="Heading1"/>
        <w:spacing w:after="0"/>
        <w:jc w:val="both"/>
        <w:rPr>
          <w:rFonts w:asciiTheme="minorHAnsi" w:hAnsiTheme="minorHAnsi"/>
          <w:sz w:val="20"/>
          <w:szCs w:val="20"/>
        </w:rPr>
      </w:pPr>
      <w:r>
        <w:rPr>
          <w:rFonts w:asciiTheme="minorHAnsi" w:hAnsiTheme="minorHAnsi"/>
          <w:sz w:val="20"/>
          <w:szCs w:val="20"/>
        </w:rPr>
        <w:t>6.2 Item exposure and leakage control</w:t>
      </w:r>
    </w:p>
    <w:p w14:paraId="69C36D01" w14:textId="77777777">
      <w:pPr>
        <w:spacing w:after="0"/>
        <w:jc w:val="both"/>
        <w:rPr>
          <w:rFonts w:asciiTheme="minorHAnsi" w:hAnsiTheme="minorHAnsi"/>
          <w:sz w:val="20"/>
          <w:szCs w:val="20"/>
        </w:rPr>
      </w:pPr>
      <w:r>
        <w:rPr>
          <w:rFonts w:asciiTheme="minorHAnsi" w:eastAsia="Arial" w:hAnsiTheme="minorHAnsi" w:cs="Arial"/>
          <w:sz w:val="20"/>
          <w:szCs w:val="20"/>
        </w:rPr>
        <w:t>A 70-of-500 design exposes only 14% of the bank to any one candidate. Across 200 candidates, each item is expected to appear 28 times. The simulation shows natural exposure variation, with typical run maxima in the mid-40s. That level is not automatically problematic, but it provides a measurable quantity the exam officer can monitor. If particular items become overexposed because of weighting, blueprint scarcity or repeated sittings, exposure caps, rotating sub-pools or multiple calibrated banks can be introduced, consistent with the item-pool security literature (Way, 1998; Zhang &amp; Chang, 2005; Liu et al., 2019).</w:t>
      </w:r>
    </w:p>
    <w:p w14:paraId="0939B1A2" w14:textId="77777777">
      <w:pPr>
        <w:pStyle w:val="Heading1"/>
        <w:spacing w:after="0"/>
        <w:jc w:val="both"/>
        <w:rPr>
          <w:rFonts w:asciiTheme="minorHAnsi" w:hAnsiTheme="minorHAnsi"/>
          <w:sz w:val="20"/>
          <w:szCs w:val="20"/>
        </w:rPr>
      </w:pPr>
      <w:r>
        <w:rPr>
          <w:rFonts w:asciiTheme="minorHAnsi" w:hAnsiTheme="minorHAnsi"/>
          <w:sz w:val="20"/>
          <w:szCs w:val="20"/>
        </w:rPr>
        <w:t>6.3 Why revision and practice matter for fairness</w:t>
      </w:r>
    </w:p>
    <w:p w14:paraId="05604768" w14:textId="77777777">
      <w:pPr>
        <w:spacing w:after="0"/>
        <w:jc w:val="both"/>
        <w:rPr>
          <w:rFonts w:asciiTheme="minorHAnsi" w:hAnsiTheme="minorHAnsi"/>
          <w:sz w:val="20"/>
          <w:szCs w:val="20"/>
        </w:rPr>
      </w:pPr>
      <w:r>
        <w:rPr>
          <w:rFonts w:asciiTheme="minorHAnsi" w:eastAsia="Arial" w:hAnsiTheme="minorHAnsi" w:cs="Arial"/>
          <w:sz w:val="20"/>
          <w:szCs w:val="20"/>
        </w:rPr>
        <w:t>The CACGWA design is stronger than a stand-alone exam page because the deployed portal supports revision and practice before live testing. This feature addresses an important Nigerian equity concern: students who lack prior computer experience may be disadvantaged by CBT even when they understand the academic content. Abdulkareem and Lennon (2025) found a positive relationship between computer familiarity and UTME performance, and Abanobi et al. (2023) showed that test mode can be associated with performance differences. Rehearsal with the same navigation style therefore supports construct validity by reducing irrelevant interface unfamiliarity.</w:t>
      </w:r>
    </w:p>
    <w:p w14:paraId="59A0130F" w14:textId="77777777">
      <w:pPr>
        <w:pStyle w:val="Heading1"/>
        <w:spacing w:after="0"/>
        <w:jc w:val="both"/>
        <w:rPr>
          <w:rFonts w:asciiTheme="minorHAnsi" w:hAnsiTheme="minorHAnsi"/>
          <w:sz w:val="20"/>
          <w:szCs w:val="20"/>
        </w:rPr>
      </w:pPr>
      <w:r>
        <w:rPr>
          <w:rFonts w:asciiTheme="minorHAnsi" w:hAnsiTheme="minorHAnsi"/>
          <w:b w:val="0"/>
          <w:sz w:val="20"/>
          <w:szCs w:val="20"/>
        </w:rPr>
        <w:t>6.4 Operational effectiveness and field relevance</w:t>
      </w:r>
    </w:p>
    <w:p w14:paraId="6D07FBB7" w14:textId="77777777">
      <w:pPr>
        <w:spacing w:after="0"/>
        <w:jc w:val="both"/>
        <w:rPr>
          <w:rFonts w:asciiTheme="minorHAnsi" w:hAnsiTheme="minorHAnsi"/>
          <w:sz w:val="20"/>
          <w:szCs w:val="20"/>
        </w:rPr>
      </w:pPr>
      <w:r>
        <w:rPr>
          <w:rFonts w:asciiTheme="minorHAnsi" w:eastAsia="Arial" w:hAnsiTheme="minorHAnsi" w:cs="Arial"/>
          <w:sz w:val="20"/>
          <w:szCs w:val="20"/>
        </w:rPr>
        <w:t>The 2025/2026 end-of-session deployment confirms that the CACGWA portal functioned as an operational school examination system rather than as a prototype. For the 200-student implementation, candidate access, individualized paper delivery, timing, objective scoring, submission handling, and examination administration operated as intended. This supports the operational feasibility of the integrated revision-and-CBT model in the case-school context. The principal quantitative contribution of the present study concerns test-form diversity, overlap, and exposure; future comparative studies can extend the evidence base by estimating effects on achievement, processing time, candidate experience, and malpractice outcomes.</w:t>
      </w:r>
    </w:p>
    <w:p w14:paraId="66509071" w14:textId="77777777">
      <w:pPr>
        <w:pStyle w:val="Heading1"/>
        <w:spacing w:after="0"/>
        <w:jc w:val="both"/>
        <w:rPr>
          <w:rFonts w:asciiTheme="minorHAnsi" w:hAnsiTheme="minorHAnsi"/>
          <w:sz w:val="20"/>
          <w:szCs w:val="20"/>
        </w:rPr>
      </w:pPr>
      <w:r>
        <w:rPr>
          <w:rFonts w:asciiTheme="minorHAnsi" w:hAnsiTheme="minorHAnsi"/>
          <w:sz w:val="20"/>
          <w:szCs w:val="20"/>
        </w:rPr>
        <w:t>6.5 Security, availability and resilience</w:t>
      </w:r>
    </w:p>
    <w:p w14:paraId="3BC22DB8" w14:textId="77777777">
      <w:pPr>
        <w:spacing w:after="0"/>
        <w:jc w:val="both"/>
        <w:rPr>
          <w:rFonts w:asciiTheme="minorHAnsi" w:hAnsiTheme="minorHAnsi"/>
          <w:sz w:val="20"/>
          <w:szCs w:val="20"/>
        </w:rPr>
      </w:pPr>
      <w:r>
        <w:rPr>
          <w:rFonts w:asciiTheme="minorHAnsi" w:eastAsia="Arial" w:hAnsiTheme="minorHAnsi" w:cs="Arial"/>
          <w:sz w:val="20"/>
          <w:szCs w:val="20"/>
        </w:rPr>
        <w:t>The portal’s two-PIN live-entry logic, time window and officer console establish a basic control structure. For future high-stakes scaling, the architecture should add or formally document: TLS-only traffic, cryptographically secure random selection, server-side authorization for every privileged action, hashed credentials/PINs, replay protection, immutable append-only audit events, device/session fingerprinting limited by privacy principles, rate limiting, automated backups, recovery checkpoints, and power/network contingency plans. Public revision may remain PWA-cached, but live examination integrity generally requires controlled synchronization and authoritative server-side session state.</w:t>
      </w:r>
    </w:p>
    <w:p w14:paraId="2360D08D" w14:textId="77777777">
      <w:pPr>
        <w:pStyle w:val="Heading1"/>
        <w:spacing w:after="0"/>
        <w:rPr>
          <w:rFonts w:asciiTheme="minorHAnsi" w:hAnsiTheme="minorHAnsi"/>
          <w:sz w:val="20"/>
          <w:szCs w:val="20"/>
        </w:rPr>
      </w:pPr>
      <w:r>
        <w:rPr>
          <w:rFonts w:asciiTheme="minorHAnsi" w:hAnsiTheme="minorHAnsi"/>
          <w:sz w:val="20"/>
          <w:szCs w:val="20"/>
        </w:rPr>
        <w:t>7. Threats to Validity, Operational Risks and Mitigation</w:t>
      </w:r>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2930"/>
        <w:gridCol w:w="2913"/>
        <w:gridCol w:w="4268"/>
      </w:tblGrid>
      <w:tr w14:paraId="28591826" w14:textId="77777777">
        <w:trPr>
          <w:tblHeader/>
          <w:jc w:val="center"/>
        </w:trPr>
        <w:tc>
          <w:tcPr>
            <w:tcW w:w="3024" w:type="dxa"/>
            <w:shd w:val="clear" w:color="auto" w:fill="071A45"/>
            <w:tcMar>
              <w:top w:w="80" w:type="dxa"/>
              <w:left w:w="90" w:type="dxa"/>
              <w:bottom w:w="80" w:type="dxa"/>
              <w:right w:w="90" w:type="dxa"/>
            </w:tcMar>
            <w:vAlign w:val="center"/>
          </w:tcPr>
          <w:p w14:paraId="542D697E"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Risk / validity threat</w:t>
            </w:r>
          </w:p>
        </w:tc>
        <w:tc>
          <w:tcPr>
            <w:tcW w:w="3024" w:type="dxa"/>
            <w:shd w:val="clear" w:color="auto" w:fill="071A45"/>
            <w:tcMar>
              <w:top w:w="80" w:type="dxa"/>
              <w:left w:w="90" w:type="dxa"/>
              <w:bottom w:w="80" w:type="dxa"/>
              <w:right w:w="90" w:type="dxa"/>
            </w:tcMar>
            <w:vAlign w:val="center"/>
          </w:tcPr>
          <w:p w14:paraId="6D34F06B"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Potential consequence</w:t>
            </w:r>
          </w:p>
        </w:tc>
        <w:tc>
          <w:tcPr>
            <w:tcW w:w="4464" w:type="dxa"/>
            <w:shd w:val="clear" w:color="auto" w:fill="071A45"/>
            <w:tcMar>
              <w:top w:w="80" w:type="dxa"/>
              <w:left w:w="90" w:type="dxa"/>
              <w:bottom w:w="80" w:type="dxa"/>
              <w:right w:w="90" w:type="dxa"/>
            </w:tcMar>
            <w:vAlign w:val="center"/>
          </w:tcPr>
          <w:p w14:paraId="22F83D6C"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Mitigation</w:t>
            </w:r>
          </w:p>
        </w:tc>
      </w:tr>
      <w:tr w14:paraId="12CB9F69" w14:textId="77777777">
        <w:trPr>
          <w:jc w:val="center"/>
        </w:trPr>
        <w:tc>
          <w:tcPr>
            <w:tcW w:w="3024" w:type="dxa"/>
            <w:tcMar>
              <w:top w:w="80" w:type="dxa"/>
              <w:left w:w="90" w:type="dxa"/>
              <w:bottom w:w="80" w:type="dxa"/>
              <w:right w:w="90" w:type="dxa"/>
            </w:tcMar>
            <w:vAlign w:val="center"/>
          </w:tcPr>
          <w:p w14:paraId="7D004151" w14:textId="77777777">
            <w:pPr>
              <w:spacing w:after="0" w:line="240" w:lineRule="auto"/>
              <w:rPr>
                <w:rFonts w:asciiTheme="minorHAnsi" w:hAnsiTheme="minorHAnsi"/>
                <w:sz w:val="20"/>
                <w:szCs w:val="20"/>
              </w:rPr>
            </w:pPr>
            <w:r>
              <w:rPr>
                <w:rFonts w:asciiTheme="minorHAnsi" w:eastAsia="Arial" w:hAnsiTheme="minorHAnsi" w:cs="Arial"/>
                <w:sz w:val="20"/>
                <w:szCs w:val="20"/>
              </w:rPr>
              <w:t>Single-school case design</w:t>
            </w:r>
          </w:p>
        </w:tc>
        <w:tc>
          <w:tcPr>
            <w:tcW w:w="3024" w:type="dxa"/>
            <w:tcMar>
              <w:top w:w="80" w:type="dxa"/>
              <w:left w:w="90" w:type="dxa"/>
              <w:bottom w:w="80" w:type="dxa"/>
              <w:right w:w="90" w:type="dxa"/>
            </w:tcMar>
            <w:vAlign w:val="center"/>
          </w:tcPr>
          <w:p w14:paraId="0DD6C6A0" w14:textId="77777777">
            <w:pPr>
              <w:spacing w:after="0" w:line="240" w:lineRule="auto"/>
              <w:rPr>
                <w:rFonts w:asciiTheme="minorHAnsi" w:hAnsiTheme="minorHAnsi"/>
                <w:sz w:val="20"/>
                <w:szCs w:val="20"/>
              </w:rPr>
            </w:pPr>
            <w:r>
              <w:rPr>
                <w:rFonts w:asciiTheme="minorHAnsi" w:eastAsia="Arial" w:hAnsiTheme="minorHAnsi" w:cs="Arial"/>
                <w:sz w:val="20"/>
                <w:szCs w:val="20"/>
              </w:rPr>
              <w:t>Findings may not generalize to schools with different infrastructure, staffing, or candidate profiles</w:t>
            </w:r>
          </w:p>
        </w:tc>
        <w:tc>
          <w:tcPr>
            <w:tcW w:w="4464" w:type="dxa"/>
            <w:tcMar>
              <w:top w:w="80" w:type="dxa"/>
              <w:left w:w="90" w:type="dxa"/>
              <w:bottom w:w="80" w:type="dxa"/>
              <w:right w:w="90" w:type="dxa"/>
            </w:tcMar>
            <w:vAlign w:val="center"/>
          </w:tcPr>
          <w:p w14:paraId="038EA7E5" w14:textId="77777777">
            <w:pPr>
              <w:spacing w:after="0" w:line="240" w:lineRule="auto"/>
              <w:rPr>
                <w:rFonts w:asciiTheme="minorHAnsi" w:hAnsiTheme="minorHAnsi"/>
                <w:sz w:val="20"/>
                <w:szCs w:val="20"/>
              </w:rPr>
            </w:pPr>
            <w:r>
              <w:rPr>
                <w:rFonts w:asciiTheme="minorHAnsi" w:eastAsia="Arial" w:hAnsiTheme="minorHAnsi" w:cs="Arial"/>
                <w:sz w:val="20"/>
                <w:szCs w:val="20"/>
              </w:rPr>
              <w:t>Conduct multi-school replication across contrasting infrastructure and school contexts</w:t>
            </w:r>
          </w:p>
        </w:tc>
      </w:tr>
      <w:tr w14:paraId="20D5F73C" w14:textId="77777777">
        <w:trPr>
          <w:jc w:val="center"/>
        </w:trPr>
        <w:tc>
          <w:tcPr>
            <w:tcW w:w="3024" w:type="dxa"/>
            <w:shd w:val="clear" w:color="auto" w:fill="F3F6FB"/>
            <w:tcMar>
              <w:top w:w="80" w:type="dxa"/>
              <w:left w:w="90" w:type="dxa"/>
              <w:bottom w:w="80" w:type="dxa"/>
              <w:right w:w="90" w:type="dxa"/>
            </w:tcMar>
          </w:tcPr>
          <w:p w14:paraId="28AF40DC" w14:textId="77777777">
            <w:pPr>
              <w:spacing w:after="0" w:line="240" w:lineRule="auto"/>
              <w:rPr>
                <w:rFonts w:asciiTheme="minorHAnsi" w:hAnsiTheme="minorHAnsi"/>
                <w:sz w:val="20"/>
                <w:szCs w:val="20"/>
              </w:rPr>
            </w:pPr>
            <w:r>
              <w:rPr>
                <w:rFonts w:asciiTheme="minorHAnsi" w:eastAsia="Arial" w:hAnsiTheme="minorHAnsi" w:cs="Arial"/>
                <w:sz w:val="20"/>
                <w:szCs w:val="20"/>
              </w:rPr>
              <w:t>Pure random sampling across all 500 items</w:t>
            </w:r>
          </w:p>
        </w:tc>
        <w:tc>
          <w:tcPr>
            <w:tcW w:w="3024" w:type="dxa"/>
            <w:shd w:val="clear" w:color="auto" w:fill="F3F6FB"/>
            <w:tcMar>
              <w:top w:w="80" w:type="dxa"/>
              <w:left w:w="90" w:type="dxa"/>
              <w:bottom w:w="80" w:type="dxa"/>
              <w:right w:w="90" w:type="dxa"/>
            </w:tcMar>
          </w:tcPr>
          <w:p w14:paraId="6657F6DC" w14:textId="77777777">
            <w:pPr>
              <w:spacing w:after="0" w:line="240" w:lineRule="auto"/>
              <w:rPr>
                <w:rFonts w:asciiTheme="minorHAnsi" w:hAnsiTheme="minorHAnsi"/>
                <w:sz w:val="20"/>
                <w:szCs w:val="20"/>
              </w:rPr>
            </w:pPr>
            <w:r>
              <w:rPr>
                <w:rFonts w:asciiTheme="minorHAnsi" w:eastAsia="Arial" w:hAnsiTheme="minorHAnsi" w:cs="Arial"/>
                <w:sz w:val="20"/>
                <w:szCs w:val="20"/>
              </w:rPr>
              <w:t>Content-domain imbalance between candidate papers</w:t>
            </w:r>
          </w:p>
        </w:tc>
        <w:tc>
          <w:tcPr>
            <w:tcW w:w="4464" w:type="dxa"/>
            <w:shd w:val="clear" w:color="auto" w:fill="F3F6FB"/>
            <w:tcMar>
              <w:top w:w="80" w:type="dxa"/>
              <w:left w:w="90" w:type="dxa"/>
              <w:bottom w:w="80" w:type="dxa"/>
              <w:right w:w="90" w:type="dxa"/>
            </w:tcMar>
          </w:tcPr>
          <w:p w14:paraId="57A645F0" w14:textId="77777777">
            <w:pPr>
              <w:spacing w:after="0" w:line="240" w:lineRule="auto"/>
              <w:rPr>
                <w:rFonts w:asciiTheme="minorHAnsi" w:hAnsiTheme="minorHAnsi"/>
                <w:sz w:val="20"/>
                <w:szCs w:val="20"/>
              </w:rPr>
            </w:pPr>
            <w:r>
              <w:rPr>
                <w:rFonts w:asciiTheme="minorHAnsi" w:eastAsia="Arial" w:hAnsiTheme="minorHAnsi" w:cs="Arial"/>
                <w:sz w:val="20"/>
                <w:szCs w:val="20"/>
              </w:rPr>
              <w:t>Use blueprint-constrained randomization within topic/cognitive strata</w:t>
            </w:r>
          </w:p>
        </w:tc>
      </w:tr>
      <w:tr w14:paraId="3D10BCD7" w14:textId="77777777">
        <w:trPr>
          <w:jc w:val="center"/>
        </w:trPr>
        <w:tc>
          <w:tcPr>
            <w:tcW w:w="3024" w:type="dxa"/>
            <w:tcMar>
              <w:top w:w="80" w:type="dxa"/>
              <w:left w:w="90" w:type="dxa"/>
              <w:bottom w:w="80" w:type="dxa"/>
              <w:right w:w="90" w:type="dxa"/>
            </w:tcMar>
          </w:tcPr>
          <w:p w14:paraId="4B7A739D" w14:textId="77777777">
            <w:pPr>
              <w:spacing w:after="0" w:line="240" w:lineRule="auto"/>
              <w:rPr>
                <w:rFonts w:asciiTheme="minorHAnsi" w:hAnsiTheme="minorHAnsi"/>
                <w:sz w:val="20"/>
                <w:szCs w:val="20"/>
              </w:rPr>
            </w:pPr>
            <w:r>
              <w:rPr>
                <w:rFonts w:asciiTheme="minorHAnsi" w:eastAsia="Arial" w:hAnsiTheme="minorHAnsi" w:cs="Arial"/>
                <w:sz w:val="20"/>
                <w:szCs w:val="20"/>
              </w:rPr>
              <w:t>Weak/random-number implementation</w:t>
            </w:r>
          </w:p>
        </w:tc>
        <w:tc>
          <w:tcPr>
            <w:tcW w:w="3024" w:type="dxa"/>
            <w:tcMar>
              <w:top w:w="80" w:type="dxa"/>
              <w:left w:w="90" w:type="dxa"/>
              <w:bottom w:w="80" w:type="dxa"/>
              <w:right w:w="90" w:type="dxa"/>
            </w:tcMar>
          </w:tcPr>
          <w:p w14:paraId="33B23E6E" w14:textId="77777777">
            <w:pPr>
              <w:spacing w:after="0" w:line="240" w:lineRule="auto"/>
              <w:rPr>
                <w:rFonts w:asciiTheme="minorHAnsi" w:hAnsiTheme="minorHAnsi"/>
                <w:sz w:val="20"/>
                <w:szCs w:val="20"/>
              </w:rPr>
            </w:pPr>
            <w:r>
              <w:rPr>
                <w:rFonts w:asciiTheme="minorHAnsi" w:eastAsia="Arial" w:hAnsiTheme="minorHAnsi" w:cs="Arial"/>
                <w:sz w:val="20"/>
                <w:szCs w:val="20"/>
              </w:rPr>
              <w:t>Predictable paper assembly</w:t>
            </w:r>
          </w:p>
        </w:tc>
        <w:tc>
          <w:tcPr>
            <w:tcW w:w="4464" w:type="dxa"/>
            <w:tcMar>
              <w:top w:w="80" w:type="dxa"/>
              <w:left w:w="90" w:type="dxa"/>
              <w:bottom w:w="80" w:type="dxa"/>
              <w:right w:w="90" w:type="dxa"/>
            </w:tcMar>
          </w:tcPr>
          <w:p w14:paraId="5811C71E" w14:textId="77777777">
            <w:pPr>
              <w:spacing w:after="0" w:line="240" w:lineRule="auto"/>
              <w:rPr>
                <w:rFonts w:asciiTheme="minorHAnsi" w:hAnsiTheme="minorHAnsi"/>
                <w:sz w:val="20"/>
                <w:szCs w:val="20"/>
              </w:rPr>
            </w:pPr>
            <w:r>
              <w:rPr>
                <w:rFonts w:asciiTheme="minorHAnsi" w:eastAsia="Arial" w:hAnsiTheme="minorHAnsi" w:cs="Arial"/>
                <w:sz w:val="20"/>
                <w:szCs w:val="20"/>
              </w:rPr>
              <w:t>Use server-side CSPRNG; store nonces and selected item IDs for audit</w:t>
            </w:r>
          </w:p>
        </w:tc>
      </w:tr>
      <w:tr w14:paraId="6764DB9C" w14:textId="77777777">
        <w:trPr>
          <w:jc w:val="center"/>
        </w:trPr>
        <w:tc>
          <w:tcPr>
            <w:tcW w:w="3024" w:type="dxa"/>
            <w:shd w:val="clear" w:color="auto" w:fill="F3F6FB"/>
            <w:tcMar>
              <w:top w:w="80" w:type="dxa"/>
              <w:left w:w="90" w:type="dxa"/>
              <w:bottom w:w="80" w:type="dxa"/>
              <w:right w:w="90" w:type="dxa"/>
            </w:tcMar>
          </w:tcPr>
          <w:p w14:paraId="46295002" w14:textId="77777777">
            <w:pPr>
              <w:spacing w:after="0" w:line="240" w:lineRule="auto"/>
              <w:rPr>
                <w:rFonts w:asciiTheme="minorHAnsi" w:hAnsiTheme="minorHAnsi"/>
                <w:sz w:val="20"/>
                <w:szCs w:val="20"/>
              </w:rPr>
            </w:pPr>
            <w:r>
              <w:rPr>
                <w:rFonts w:asciiTheme="minorHAnsi" w:eastAsia="Arial" w:hAnsiTheme="minorHAnsi" w:cs="Arial"/>
                <w:sz w:val="20"/>
                <w:szCs w:val="20"/>
              </w:rPr>
              <w:lastRenderedPageBreak/>
              <w:t>Unequal device/computer familiarity</w:t>
            </w:r>
          </w:p>
        </w:tc>
        <w:tc>
          <w:tcPr>
            <w:tcW w:w="3024" w:type="dxa"/>
            <w:shd w:val="clear" w:color="auto" w:fill="F3F6FB"/>
            <w:tcMar>
              <w:top w:w="80" w:type="dxa"/>
              <w:left w:w="90" w:type="dxa"/>
              <w:bottom w:w="80" w:type="dxa"/>
              <w:right w:w="90" w:type="dxa"/>
            </w:tcMar>
          </w:tcPr>
          <w:p w14:paraId="39EF36A4" w14:textId="77777777">
            <w:pPr>
              <w:spacing w:after="0" w:line="240" w:lineRule="auto"/>
              <w:rPr>
                <w:rFonts w:asciiTheme="minorHAnsi" w:hAnsiTheme="minorHAnsi"/>
                <w:sz w:val="20"/>
                <w:szCs w:val="20"/>
              </w:rPr>
            </w:pPr>
            <w:r>
              <w:rPr>
                <w:rFonts w:asciiTheme="minorHAnsi" w:eastAsia="Arial" w:hAnsiTheme="minorHAnsi" w:cs="Arial"/>
                <w:sz w:val="20"/>
                <w:szCs w:val="20"/>
              </w:rPr>
              <w:t>Construct-irrelevant score variance</w:t>
            </w:r>
          </w:p>
        </w:tc>
        <w:tc>
          <w:tcPr>
            <w:tcW w:w="4464" w:type="dxa"/>
            <w:shd w:val="clear" w:color="auto" w:fill="F3F6FB"/>
            <w:tcMar>
              <w:top w:w="80" w:type="dxa"/>
              <w:left w:w="90" w:type="dxa"/>
              <w:bottom w:w="80" w:type="dxa"/>
              <w:right w:w="90" w:type="dxa"/>
            </w:tcMar>
          </w:tcPr>
          <w:p w14:paraId="29100A38" w14:textId="77777777">
            <w:pPr>
              <w:spacing w:after="0" w:line="240" w:lineRule="auto"/>
              <w:rPr>
                <w:rFonts w:asciiTheme="minorHAnsi" w:hAnsiTheme="minorHAnsi"/>
                <w:sz w:val="20"/>
                <w:szCs w:val="20"/>
              </w:rPr>
            </w:pPr>
            <w:r>
              <w:rPr>
                <w:rFonts w:asciiTheme="minorHAnsi" w:eastAsia="Arial" w:hAnsiTheme="minorHAnsi" w:cs="Arial"/>
                <w:sz w:val="20"/>
                <w:szCs w:val="20"/>
              </w:rPr>
              <w:t>Mandatory practice sessions and consistent interface across practice/live CBT</w:t>
            </w:r>
          </w:p>
        </w:tc>
      </w:tr>
      <w:tr w14:paraId="10EEEC90" w14:textId="77777777">
        <w:trPr>
          <w:jc w:val="center"/>
        </w:trPr>
        <w:tc>
          <w:tcPr>
            <w:tcW w:w="3024" w:type="dxa"/>
            <w:tcMar>
              <w:top w:w="80" w:type="dxa"/>
              <w:left w:w="90" w:type="dxa"/>
              <w:bottom w:w="80" w:type="dxa"/>
              <w:right w:w="90" w:type="dxa"/>
            </w:tcMar>
          </w:tcPr>
          <w:p w14:paraId="2349E4A3" w14:textId="77777777">
            <w:pPr>
              <w:spacing w:after="0" w:line="240" w:lineRule="auto"/>
              <w:rPr>
                <w:rFonts w:asciiTheme="minorHAnsi" w:hAnsiTheme="minorHAnsi"/>
                <w:sz w:val="20"/>
                <w:szCs w:val="20"/>
              </w:rPr>
            </w:pPr>
            <w:r>
              <w:rPr>
                <w:rFonts w:asciiTheme="minorHAnsi" w:eastAsia="Arial" w:hAnsiTheme="minorHAnsi" w:cs="Arial"/>
                <w:sz w:val="20"/>
                <w:szCs w:val="20"/>
              </w:rPr>
              <w:t>Power or connectivity interruption</w:t>
            </w:r>
          </w:p>
        </w:tc>
        <w:tc>
          <w:tcPr>
            <w:tcW w:w="3024" w:type="dxa"/>
            <w:tcMar>
              <w:top w:w="80" w:type="dxa"/>
              <w:left w:w="90" w:type="dxa"/>
              <w:bottom w:w="80" w:type="dxa"/>
              <w:right w:w="90" w:type="dxa"/>
            </w:tcMar>
          </w:tcPr>
          <w:p w14:paraId="64D50972" w14:textId="77777777">
            <w:pPr>
              <w:spacing w:after="0" w:line="240" w:lineRule="auto"/>
              <w:rPr>
                <w:rFonts w:asciiTheme="minorHAnsi" w:hAnsiTheme="minorHAnsi"/>
                <w:sz w:val="20"/>
                <w:szCs w:val="20"/>
              </w:rPr>
            </w:pPr>
            <w:r>
              <w:rPr>
                <w:rFonts w:asciiTheme="minorHAnsi" w:eastAsia="Arial" w:hAnsiTheme="minorHAnsi" w:cs="Arial"/>
                <w:sz w:val="20"/>
                <w:szCs w:val="20"/>
              </w:rPr>
              <w:t>Incomplete sessions or inequitable time loss</w:t>
            </w:r>
          </w:p>
        </w:tc>
        <w:tc>
          <w:tcPr>
            <w:tcW w:w="4464" w:type="dxa"/>
            <w:tcMar>
              <w:top w:w="80" w:type="dxa"/>
              <w:left w:w="90" w:type="dxa"/>
              <w:bottom w:w="80" w:type="dxa"/>
              <w:right w:w="90" w:type="dxa"/>
            </w:tcMar>
          </w:tcPr>
          <w:p w14:paraId="5BD83826" w14:textId="77777777">
            <w:pPr>
              <w:spacing w:after="0" w:line="240" w:lineRule="auto"/>
              <w:rPr>
                <w:rFonts w:asciiTheme="minorHAnsi" w:hAnsiTheme="minorHAnsi"/>
                <w:sz w:val="20"/>
                <w:szCs w:val="20"/>
              </w:rPr>
            </w:pPr>
            <w:r>
              <w:rPr>
                <w:rFonts w:asciiTheme="minorHAnsi" w:eastAsia="Arial" w:hAnsiTheme="minorHAnsi" w:cs="Arial"/>
                <w:sz w:val="20"/>
                <w:szCs w:val="20"/>
              </w:rPr>
              <w:t>UPS/solar backup, local network fallback where feasible, resumable server sessions</w:t>
            </w:r>
          </w:p>
        </w:tc>
      </w:tr>
      <w:tr w14:paraId="64D7A850" w14:textId="77777777">
        <w:trPr>
          <w:jc w:val="center"/>
        </w:trPr>
        <w:tc>
          <w:tcPr>
            <w:tcW w:w="3024" w:type="dxa"/>
            <w:shd w:val="clear" w:color="auto" w:fill="F3F6FB"/>
            <w:tcMar>
              <w:top w:w="80" w:type="dxa"/>
              <w:left w:w="90" w:type="dxa"/>
              <w:bottom w:w="80" w:type="dxa"/>
              <w:right w:w="90" w:type="dxa"/>
            </w:tcMar>
          </w:tcPr>
          <w:p w14:paraId="38F61339" w14:textId="77777777">
            <w:pPr>
              <w:spacing w:after="0" w:line="240" w:lineRule="auto"/>
              <w:rPr>
                <w:rFonts w:asciiTheme="minorHAnsi" w:hAnsiTheme="minorHAnsi"/>
                <w:sz w:val="20"/>
                <w:szCs w:val="20"/>
              </w:rPr>
            </w:pPr>
            <w:r>
              <w:rPr>
                <w:rFonts w:asciiTheme="minorHAnsi" w:eastAsia="Arial" w:hAnsiTheme="minorHAnsi" w:cs="Arial"/>
                <w:sz w:val="20"/>
                <w:szCs w:val="20"/>
              </w:rPr>
              <w:t>Item leakage over repeated sittings</w:t>
            </w:r>
          </w:p>
        </w:tc>
        <w:tc>
          <w:tcPr>
            <w:tcW w:w="3024" w:type="dxa"/>
            <w:shd w:val="clear" w:color="auto" w:fill="F3F6FB"/>
            <w:tcMar>
              <w:top w:w="80" w:type="dxa"/>
              <w:left w:w="90" w:type="dxa"/>
              <w:bottom w:w="80" w:type="dxa"/>
              <w:right w:w="90" w:type="dxa"/>
            </w:tcMar>
          </w:tcPr>
          <w:p w14:paraId="534C536A" w14:textId="77777777">
            <w:pPr>
              <w:spacing w:after="0" w:line="240" w:lineRule="auto"/>
              <w:rPr>
                <w:rFonts w:asciiTheme="minorHAnsi" w:hAnsiTheme="minorHAnsi"/>
                <w:sz w:val="20"/>
                <w:szCs w:val="20"/>
              </w:rPr>
            </w:pPr>
            <w:r>
              <w:rPr>
                <w:rFonts w:asciiTheme="minorHAnsi" w:eastAsia="Arial" w:hAnsiTheme="minorHAnsi" w:cs="Arial"/>
                <w:sz w:val="20"/>
                <w:szCs w:val="20"/>
              </w:rPr>
              <w:t>Compromised bank validity</w:t>
            </w:r>
          </w:p>
        </w:tc>
        <w:tc>
          <w:tcPr>
            <w:tcW w:w="4464" w:type="dxa"/>
            <w:shd w:val="clear" w:color="auto" w:fill="F3F6FB"/>
            <w:tcMar>
              <w:top w:w="80" w:type="dxa"/>
              <w:left w:w="90" w:type="dxa"/>
              <w:bottom w:w="80" w:type="dxa"/>
              <w:right w:w="90" w:type="dxa"/>
            </w:tcMar>
          </w:tcPr>
          <w:p w14:paraId="3228DDF4" w14:textId="77777777">
            <w:pPr>
              <w:spacing w:after="0" w:line="240" w:lineRule="auto"/>
              <w:rPr>
                <w:rFonts w:asciiTheme="minorHAnsi" w:hAnsiTheme="minorHAnsi"/>
                <w:sz w:val="20"/>
                <w:szCs w:val="20"/>
              </w:rPr>
            </w:pPr>
            <w:r>
              <w:rPr>
                <w:rFonts w:asciiTheme="minorHAnsi" w:eastAsia="Arial" w:hAnsiTheme="minorHAnsi" w:cs="Arial"/>
                <w:sz w:val="20"/>
                <w:szCs w:val="20"/>
              </w:rPr>
              <w:t>Exposure monitoring, scheduled retirement, rotating calibrated pools, item-analysis review</w:t>
            </w:r>
          </w:p>
        </w:tc>
      </w:tr>
      <w:tr w14:paraId="16E6F923" w14:textId="77777777">
        <w:trPr>
          <w:jc w:val="center"/>
        </w:trPr>
        <w:tc>
          <w:tcPr>
            <w:tcW w:w="3024" w:type="dxa"/>
            <w:tcMar>
              <w:top w:w="80" w:type="dxa"/>
              <w:left w:w="90" w:type="dxa"/>
              <w:bottom w:w="80" w:type="dxa"/>
              <w:right w:w="90" w:type="dxa"/>
            </w:tcMar>
          </w:tcPr>
          <w:p w14:paraId="4060FAA0" w14:textId="77777777">
            <w:pPr>
              <w:spacing w:after="0" w:line="240" w:lineRule="auto"/>
              <w:rPr>
                <w:rFonts w:asciiTheme="minorHAnsi" w:hAnsiTheme="minorHAnsi"/>
                <w:sz w:val="20"/>
                <w:szCs w:val="20"/>
              </w:rPr>
            </w:pPr>
            <w:r>
              <w:rPr>
                <w:rFonts w:asciiTheme="minorHAnsi" w:eastAsia="Arial" w:hAnsiTheme="minorHAnsi" w:cs="Arial"/>
                <w:sz w:val="20"/>
                <w:szCs w:val="20"/>
              </w:rPr>
              <w:t>Shared PINs or impersonation</w:t>
            </w:r>
          </w:p>
        </w:tc>
        <w:tc>
          <w:tcPr>
            <w:tcW w:w="3024" w:type="dxa"/>
            <w:tcMar>
              <w:top w:w="80" w:type="dxa"/>
              <w:left w:w="90" w:type="dxa"/>
              <w:bottom w:w="80" w:type="dxa"/>
              <w:right w:w="90" w:type="dxa"/>
            </w:tcMar>
          </w:tcPr>
          <w:p w14:paraId="637BA5BD" w14:textId="77777777">
            <w:pPr>
              <w:spacing w:after="0" w:line="240" w:lineRule="auto"/>
              <w:rPr>
                <w:rFonts w:asciiTheme="minorHAnsi" w:hAnsiTheme="minorHAnsi"/>
                <w:sz w:val="20"/>
                <w:szCs w:val="20"/>
              </w:rPr>
            </w:pPr>
            <w:r>
              <w:rPr>
                <w:rFonts w:asciiTheme="minorHAnsi" w:eastAsia="Arial" w:hAnsiTheme="minorHAnsi" w:cs="Arial"/>
                <w:sz w:val="20"/>
                <w:szCs w:val="20"/>
              </w:rPr>
              <w:t>Unauthorized access</w:t>
            </w:r>
          </w:p>
        </w:tc>
        <w:tc>
          <w:tcPr>
            <w:tcW w:w="4464" w:type="dxa"/>
            <w:tcMar>
              <w:top w:w="80" w:type="dxa"/>
              <w:left w:w="90" w:type="dxa"/>
              <w:bottom w:w="80" w:type="dxa"/>
              <w:right w:w="90" w:type="dxa"/>
            </w:tcMar>
          </w:tcPr>
          <w:p w14:paraId="199226CB" w14:textId="77777777">
            <w:pPr>
              <w:spacing w:after="0" w:line="240" w:lineRule="auto"/>
              <w:rPr>
                <w:rFonts w:asciiTheme="minorHAnsi" w:hAnsiTheme="minorHAnsi"/>
                <w:sz w:val="20"/>
                <w:szCs w:val="20"/>
              </w:rPr>
            </w:pPr>
            <w:r>
              <w:rPr>
                <w:rFonts w:asciiTheme="minorHAnsi" w:eastAsia="Arial" w:hAnsiTheme="minorHAnsi" w:cs="Arial"/>
                <w:sz w:val="20"/>
                <w:szCs w:val="20"/>
              </w:rPr>
              <w:t>Candidate-specific credentials, identity verification and login audit trail</w:t>
            </w:r>
          </w:p>
        </w:tc>
      </w:tr>
      <w:tr w14:paraId="75D3ACE6" w14:textId="77777777">
        <w:trPr>
          <w:jc w:val="center"/>
        </w:trPr>
        <w:tc>
          <w:tcPr>
            <w:tcW w:w="3024" w:type="dxa"/>
            <w:shd w:val="clear" w:color="auto" w:fill="F3F6FB"/>
            <w:tcMar>
              <w:top w:w="80" w:type="dxa"/>
              <w:left w:w="90" w:type="dxa"/>
              <w:bottom w:w="80" w:type="dxa"/>
              <w:right w:w="90" w:type="dxa"/>
            </w:tcMar>
          </w:tcPr>
          <w:p w14:paraId="35F080D1" w14:textId="77777777">
            <w:pPr>
              <w:spacing w:after="0" w:line="240" w:lineRule="auto"/>
              <w:rPr>
                <w:rFonts w:asciiTheme="minorHAnsi" w:hAnsiTheme="minorHAnsi"/>
                <w:sz w:val="20"/>
                <w:szCs w:val="20"/>
              </w:rPr>
            </w:pPr>
            <w:r>
              <w:rPr>
                <w:rFonts w:asciiTheme="minorHAnsi" w:eastAsia="Arial" w:hAnsiTheme="minorHAnsi" w:cs="Arial"/>
                <w:sz w:val="20"/>
                <w:szCs w:val="20"/>
              </w:rPr>
              <w:t>Automatic scoring key errors</w:t>
            </w:r>
          </w:p>
        </w:tc>
        <w:tc>
          <w:tcPr>
            <w:tcW w:w="3024" w:type="dxa"/>
            <w:shd w:val="clear" w:color="auto" w:fill="F3F6FB"/>
            <w:tcMar>
              <w:top w:w="80" w:type="dxa"/>
              <w:left w:w="90" w:type="dxa"/>
              <w:bottom w:w="80" w:type="dxa"/>
              <w:right w:w="90" w:type="dxa"/>
            </w:tcMar>
          </w:tcPr>
          <w:p w14:paraId="668AA83E" w14:textId="77777777">
            <w:pPr>
              <w:spacing w:after="0" w:line="240" w:lineRule="auto"/>
              <w:rPr>
                <w:rFonts w:asciiTheme="minorHAnsi" w:hAnsiTheme="minorHAnsi"/>
                <w:sz w:val="20"/>
                <w:szCs w:val="20"/>
              </w:rPr>
            </w:pPr>
            <w:r>
              <w:rPr>
                <w:rFonts w:asciiTheme="minorHAnsi" w:eastAsia="Arial" w:hAnsiTheme="minorHAnsi" w:cs="Arial"/>
                <w:sz w:val="20"/>
                <w:szCs w:val="20"/>
              </w:rPr>
              <w:t>Systematic mis-scoring</w:t>
            </w:r>
          </w:p>
        </w:tc>
        <w:tc>
          <w:tcPr>
            <w:tcW w:w="4464" w:type="dxa"/>
            <w:shd w:val="clear" w:color="auto" w:fill="F3F6FB"/>
            <w:tcMar>
              <w:top w:w="80" w:type="dxa"/>
              <w:left w:w="90" w:type="dxa"/>
              <w:bottom w:w="80" w:type="dxa"/>
              <w:right w:w="90" w:type="dxa"/>
            </w:tcMar>
          </w:tcPr>
          <w:p w14:paraId="706535F3" w14:textId="77777777">
            <w:pPr>
              <w:spacing w:after="0" w:line="240" w:lineRule="auto"/>
              <w:rPr>
                <w:rFonts w:asciiTheme="minorHAnsi" w:hAnsiTheme="minorHAnsi"/>
                <w:sz w:val="20"/>
                <w:szCs w:val="20"/>
              </w:rPr>
            </w:pPr>
            <w:r>
              <w:rPr>
                <w:rFonts w:asciiTheme="minorHAnsi" w:eastAsia="Arial" w:hAnsiTheme="minorHAnsi" w:cs="Arial"/>
                <w:sz w:val="20"/>
                <w:szCs w:val="20"/>
              </w:rPr>
              <w:t>Dual review of answer keys, version control, post-exam key audit and re-score capability</w:t>
            </w:r>
          </w:p>
        </w:tc>
      </w:tr>
      <w:tr w14:paraId="23D0D16D" w14:textId="77777777">
        <w:trPr>
          <w:jc w:val="center"/>
        </w:trPr>
        <w:tc>
          <w:tcPr>
            <w:tcW w:w="3024" w:type="dxa"/>
            <w:tcMar>
              <w:top w:w="80" w:type="dxa"/>
              <w:left w:w="90" w:type="dxa"/>
              <w:bottom w:w="80" w:type="dxa"/>
              <w:right w:w="90" w:type="dxa"/>
            </w:tcMar>
          </w:tcPr>
          <w:p w14:paraId="549CFD0C" w14:textId="77777777">
            <w:pPr>
              <w:spacing w:after="0" w:line="240" w:lineRule="auto"/>
              <w:rPr>
                <w:rFonts w:asciiTheme="minorHAnsi" w:hAnsiTheme="minorHAnsi"/>
                <w:sz w:val="20"/>
                <w:szCs w:val="20"/>
              </w:rPr>
            </w:pPr>
            <w:r>
              <w:rPr>
                <w:rFonts w:asciiTheme="minorHAnsi" w:eastAsia="Arial" w:hAnsiTheme="minorHAnsi" w:cs="Arial"/>
                <w:sz w:val="20"/>
                <w:szCs w:val="20"/>
              </w:rPr>
              <w:t>Accessibility barriers</w:t>
            </w:r>
          </w:p>
        </w:tc>
        <w:tc>
          <w:tcPr>
            <w:tcW w:w="3024" w:type="dxa"/>
            <w:tcMar>
              <w:top w:w="80" w:type="dxa"/>
              <w:left w:w="90" w:type="dxa"/>
              <w:bottom w:w="80" w:type="dxa"/>
              <w:right w:w="90" w:type="dxa"/>
            </w:tcMar>
          </w:tcPr>
          <w:p w14:paraId="25A49B30" w14:textId="77777777">
            <w:pPr>
              <w:spacing w:after="0" w:line="240" w:lineRule="auto"/>
              <w:rPr>
                <w:rFonts w:asciiTheme="minorHAnsi" w:hAnsiTheme="minorHAnsi"/>
                <w:sz w:val="20"/>
                <w:szCs w:val="20"/>
              </w:rPr>
            </w:pPr>
            <w:r>
              <w:rPr>
                <w:rFonts w:asciiTheme="minorHAnsi" w:eastAsia="Arial" w:hAnsiTheme="minorHAnsi" w:cs="Arial"/>
                <w:sz w:val="20"/>
                <w:szCs w:val="20"/>
              </w:rPr>
              <w:t>Unfair disadvantage to candidates with disabilities</w:t>
            </w:r>
          </w:p>
        </w:tc>
        <w:tc>
          <w:tcPr>
            <w:tcW w:w="4464" w:type="dxa"/>
            <w:tcMar>
              <w:top w:w="80" w:type="dxa"/>
              <w:left w:w="90" w:type="dxa"/>
              <w:bottom w:w="80" w:type="dxa"/>
              <w:right w:w="90" w:type="dxa"/>
            </w:tcMar>
          </w:tcPr>
          <w:p w14:paraId="36E25482" w14:textId="77777777">
            <w:pPr>
              <w:spacing w:after="0" w:line="240" w:lineRule="auto"/>
              <w:rPr>
                <w:rFonts w:asciiTheme="minorHAnsi" w:hAnsiTheme="minorHAnsi"/>
                <w:sz w:val="20"/>
                <w:szCs w:val="20"/>
              </w:rPr>
            </w:pPr>
            <w:r>
              <w:rPr>
                <w:rFonts w:asciiTheme="minorHAnsi" w:eastAsia="Arial" w:hAnsiTheme="minorHAnsi" w:cs="Arial"/>
                <w:sz w:val="20"/>
                <w:szCs w:val="20"/>
              </w:rPr>
              <w:t>Keyboard operability, readable contrast, scalable text, alternative text for diagrams and documented accommodations</w:t>
            </w:r>
          </w:p>
        </w:tc>
      </w:tr>
    </w:tbl>
    <w:p w14:paraId="1CFF000B" w14:textId="77777777">
      <w:pPr>
        <w:pStyle w:val="Caption"/>
        <w:spacing w:after="0"/>
        <w:rPr>
          <w:rFonts w:asciiTheme="minorHAnsi" w:hAnsiTheme="minorHAnsi"/>
          <w:sz w:val="20"/>
          <w:szCs w:val="20"/>
        </w:rPr>
      </w:pPr>
      <w:r>
        <w:rPr>
          <w:rFonts w:asciiTheme="minorHAnsi" w:eastAsia="Arial" w:hAnsiTheme="minorHAnsi" w:cs="Arial"/>
          <w:sz w:val="20"/>
          <w:szCs w:val="20"/>
        </w:rPr>
        <w:t>Table 7. Principal validity and operational risks with recommended controls.</w:t>
      </w:r>
    </w:p>
    <w:p w14:paraId="7DB1575F" w14:textId="77777777">
      <w:pPr>
        <w:pStyle w:val="Heading1"/>
        <w:spacing w:after="0"/>
        <w:rPr>
          <w:rFonts w:asciiTheme="minorHAnsi" w:hAnsiTheme="minorHAnsi"/>
          <w:sz w:val="20"/>
          <w:szCs w:val="20"/>
        </w:rPr>
      </w:pPr>
      <w:r>
        <w:rPr>
          <w:rFonts w:asciiTheme="minorHAnsi" w:hAnsiTheme="minorHAnsi"/>
          <w:sz w:val="20"/>
          <w:szCs w:val="20"/>
        </w:rPr>
        <w:t>8. Replicable Implementation Protocol</w:t>
      </w:r>
    </w:p>
    <w:p w14:paraId="1771CC41" w14:textId="77777777">
      <w:pPr>
        <w:spacing w:after="0"/>
        <w:rPr>
          <w:rFonts w:asciiTheme="minorHAnsi" w:hAnsiTheme="minorHAnsi"/>
          <w:sz w:val="20"/>
          <w:szCs w:val="20"/>
        </w:rPr>
      </w:pPr>
      <w:r>
        <w:rPr>
          <w:rFonts w:asciiTheme="minorHAnsi" w:eastAsia="Arial" w:hAnsiTheme="minorHAnsi" w:cs="Arial"/>
          <w:sz w:val="20"/>
          <w:szCs w:val="20"/>
        </w:rPr>
        <w:t>The following protocol converts the case-study design into a reproducible institutional workflow.</w:t>
      </w:r>
    </w:p>
    <w:p w14:paraId="03B58D18"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1. Curriculum blueprinting: define examinable domains, learning outcomes, and target cognitive levels for every subject and class.</w:t>
      </w:r>
    </w:p>
    <w:p w14:paraId="66F27D06"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2. Bank construction: create at least 500 uniquely identified, keyed items per subject; attach domain, cognitive level, media, and version metadata.</w:t>
      </w:r>
    </w:p>
    <w:p w14:paraId="7FB34EEE"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3. Quality review: subject teachers review stem clarity, distractor plausibility, key correctness, curriculum alignment, diagram legibility, and duplicate or near-duplicate content.</w:t>
      </w:r>
    </w:p>
    <w:p w14:paraId="1CE7F50D"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4. Candidate preparation: provide revision and practice CBT using the same navigation conventions as the live system while keeping live questions segregated.</w:t>
      </w:r>
    </w:p>
    <w:p w14:paraId="09B0BF7B"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5. Exam configuration: set class, subject, examination window, duration, paper length, eligible bank version, and access credentials; freeze the bank version for the sitting.</w:t>
      </w:r>
    </w:p>
    <w:p w14:paraId="5CAE774C"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6. Candidate launch: validate the student profile, class/subject, student access PIN, and fresh examination PIN before creating the examination session.</w:t>
      </w:r>
    </w:p>
    <w:p w14:paraId="2C237F7E"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7. Paper assembly: select 70 unique eligible items, preferably within blueprint strata; persist the selected items to the candidate session and randomize presentation/order as configured.</w:t>
      </w:r>
    </w:p>
    <w:p w14:paraId="68DED94A"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8. Response persistence: save responses incrementally and record timestamps sufficient for recovery and audit without exposing answer keys to the client.</w:t>
      </w:r>
    </w:p>
    <w:p w14:paraId="4842E7E4"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9. Submission and scoring: lock the session on submission or timeout, score against the frozen key version, store the result, and write an auditable submission event.</w:t>
      </w:r>
    </w:p>
    <w:p w14:paraId="49C6E0E8" w14:textId="77777777">
      <w:pPr>
        <w:pStyle w:val="Heading2"/>
        <w:spacing w:after="0"/>
        <w:ind w:left="317" w:hanging="259"/>
        <w:rPr>
          <w:rFonts w:asciiTheme="minorHAnsi" w:hAnsiTheme="minorHAnsi"/>
          <w:sz w:val="20"/>
          <w:szCs w:val="20"/>
        </w:rPr>
      </w:pPr>
      <w:r>
        <w:rPr>
          <w:rFonts w:asciiTheme="minorHAnsi" w:eastAsia="Arial" w:hAnsiTheme="minorHAnsi" w:cs="Arial"/>
          <w:sz w:val="20"/>
          <w:szCs w:val="20"/>
        </w:rPr>
        <w:t>10. Post-exam audit and bank maintenance: reconcile candidate roster and submissions, review incidents and item exposure, conduct item analysis when adequate data accumulate, retire weak or compromised items, and replenish the bank.</w:t>
      </w:r>
    </w:p>
    <w:p w14:paraId="6DAEFE45" w14:textId="77777777">
      <w:pPr>
        <w:pStyle w:val="Heading1"/>
        <w:spacing w:after="0"/>
        <w:rPr>
          <w:rFonts w:asciiTheme="minorHAnsi" w:hAnsiTheme="minorHAnsi"/>
          <w:sz w:val="20"/>
          <w:szCs w:val="20"/>
        </w:rPr>
      </w:pPr>
      <w:r>
        <w:rPr>
          <w:rFonts w:asciiTheme="minorHAnsi" w:hAnsiTheme="minorHAnsi"/>
          <w:sz w:val="20"/>
          <w:szCs w:val="20"/>
        </w:rPr>
        <w:t>9. Conclusion and Recommendations</w:t>
      </w:r>
    </w:p>
    <w:p w14:paraId="6D5D7CAC" w14:textId="77777777">
      <w:pPr>
        <w:spacing w:after="0"/>
        <w:rPr>
          <w:rFonts w:asciiTheme="minorHAnsi" w:hAnsiTheme="minorHAnsi"/>
          <w:sz w:val="20"/>
          <w:szCs w:val="20"/>
        </w:rPr>
      </w:pPr>
      <w:r>
        <w:rPr>
          <w:rFonts w:asciiTheme="minorHAnsi" w:eastAsia="Arial" w:hAnsiTheme="minorHAnsi" w:cs="Arial"/>
          <w:sz w:val="20"/>
          <w:szCs w:val="20"/>
        </w:rPr>
        <w:t xml:space="preserve">The CACGWA Student Revision and CBT Portal </w:t>
      </w:r>
      <w:proofErr w:type="gramStart"/>
      <w:r>
        <w:rPr>
          <w:rFonts w:asciiTheme="minorHAnsi" w:eastAsia="Arial" w:hAnsiTheme="minorHAnsi" w:cs="Arial"/>
          <w:sz w:val="20"/>
          <w:szCs w:val="20"/>
        </w:rPr>
        <w:t>provides</w:t>
      </w:r>
      <w:proofErr w:type="gramEnd"/>
      <w:r>
        <w:rPr>
          <w:rFonts w:asciiTheme="minorHAnsi" w:eastAsia="Arial" w:hAnsiTheme="minorHAnsi" w:cs="Arial"/>
          <w:sz w:val="20"/>
          <w:szCs w:val="20"/>
        </w:rPr>
        <w:t xml:space="preserve"> a practical school-level model for integrating preparation, practice, secure live testing, automatic scoring, and examination administration. Its central 500-question-bank/70-question-paper architecture has an exceptionally large combinatorial form space and low expected pairwise overlap. Exact analysis and 1,000 Monte Carlo replications show that the design produces strong candidate-paper diversity and distributes item exposure across the bank. The 2025/2026 end-of-session deployment involving 200 students and 15 </w:t>
      </w:r>
      <w:r>
        <w:rPr>
          <w:rFonts w:asciiTheme="minorHAnsi" w:eastAsia="Arial" w:hAnsiTheme="minorHAnsi" w:cs="Arial"/>
          <w:sz w:val="20"/>
          <w:szCs w:val="20"/>
        </w:rPr>
        <w:lastRenderedPageBreak/>
        <w:t>examination administrators demonstrated successful operational use of the revision, live-examination, PWA, scoring, and officer-management functions.</w:t>
      </w:r>
    </w:p>
    <w:p w14:paraId="3684C9FF" w14:textId="77777777">
      <w:pPr>
        <w:spacing w:after="0"/>
        <w:rPr>
          <w:rFonts w:asciiTheme="minorHAnsi" w:hAnsiTheme="minorHAnsi"/>
          <w:sz w:val="20"/>
          <w:szCs w:val="20"/>
        </w:rPr>
      </w:pPr>
      <w:r>
        <w:rPr>
          <w:rFonts w:asciiTheme="minorHAnsi" w:eastAsia="Arial" w:hAnsiTheme="minorHAnsi" w:cs="Arial"/>
          <w:sz w:val="20"/>
          <w:szCs w:val="20"/>
        </w:rPr>
        <w:t>For higher-stakes and wider institutional deployment, the recommended next stage is blueprint-constrained randomization, formal documentation of random-number and server-side security controls, immutable examination logging, systematic accessibility testing, resilient power/network arrangements, and periodic item-exposure and psychometric review. Multi-school replication and longitudinal analysis should examine completion, reliability, scoring turnaround, candidate experience, and malpractice outcomes across different infrastructure conditions. The study contributes both a functioning institutional CBT model and a reproducible quantitative framework for evaluating whether question-bank randomization is sufficiently secure, balanced, and educationally defensible.</w:t>
      </w:r>
    </w:p>
    <w:p w14:paraId="1F460AB0" w14:textId="77777777">
      <w:pPr>
        <w:pStyle w:val="Heading1"/>
        <w:spacing w:after="0"/>
        <w:rPr>
          <w:rFonts w:asciiTheme="minorHAnsi" w:hAnsiTheme="minorHAnsi"/>
          <w:sz w:val="20"/>
          <w:szCs w:val="20"/>
        </w:rPr>
      </w:pPr>
      <w:r>
        <w:rPr>
          <w:rFonts w:asciiTheme="minorHAnsi" w:hAnsiTheme="minorHAnsi"/>
          <w:sz w:val="20"/>
          <w:szCs w:val="20"/>
        </w:rPr>
        <w:t>Declarations</w:t>
      </w:r>
    </w:p>
    <w:tbl>
      <w:tblPr>
        <w:tblStyle w:val="TableGrid"/>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2135"/>
        <w:gridCol w:w="7976"/>
      </w:tblGrid>
      <w:tr w14:paraId="43F3D9C9" w14:textId="77777777">
        <w:trPr>
          <w:tblHeader/>
          <w:jc w:val="center"/>
        </w:trPr>
        <w:tc>
          <w:tcPr>
            <w:tcW w:w="2160" w:type="dxa"/>
            <w:shd w:val="clear" w:color="auto" w:fill="071A45"/>
            <w:tcMar>
              <w:top w:w="80" w:type="dxa"/>
              <w:left w:w="90" w:type="dxa"/>
              <w:bottom w:w="80" w:type="dxa"/>
              <w:right w:w="90" w:type="dxa"/>
            </w:tcMar>
            <w:vAlign w:val="center"/>
          </w:tcPr>
          <w:p w14:paraId="5D14CD9D"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Item</w:t>
            </w:r>
          </w:p>
        </w:tc>
        <w:tc>
          <w:tcPr>
            <w:tcW w:w="8208" w:type="dxa"/>
            <w:shd w:val="clear" w:color="auto" w:fill="071A45"/>
            <w:tcMar>
              <w:top w:w="80" w:type="dxa"/>
              <w:left w:w="90" w:type="dxa"/>
              <w:bottom w:w="80" w:type="dxa"/>
              <w:right w:w="90" w:type="dxa"/>
            </w:tcMar>
            <w:vAlign w:val="center"/>
          </w:tcPr>
          <w:p w14:paraId="0220EB69" w14:textId="77777777">
            <w:pPr>
              <w:spacing w:after="0" w:line="240" w:lineRule="auto"/>
              <w:rPr>
                <w:rFonts w:asciiTheme="minorHAnsi" w:hAnsiTheme="minorHAnsi"/>
                <w:sz w:val="20"/>
                <w:szCs w:val="20"/>
              </w:rPr>
            </w:pPr>
            <w:r>
              <w:rPr>
                <w:rFonts w:asciiTheme="minorHAnsi" w:eastAsia="Arial" w:hAnsiTheme="minorHAnsi" w:cs="Arial"/>
                <w:b/>
                <w:color w:val="FFFFFF"/>
                <w:sz w:val="20"/>
                <w:szCs w:val="20"/>
              </w:rPr>
              <w:t>Statement</w:t>
            </w:r>
          </w:p>
        </w:tc>
      </w:tr>
      <w:tr w14:paraId="5346A34A" w14:textId="77777777">
        <w:trPr>
          <w:jc w:val="center"/>
        </w:trPr>
        <w:tc>
          <w:tcPr>
            <w:tcW w:w="2160" w:type="dxa"/>
            <w:tcMar>
              <w:top w:w="80" w:type="dxa"/>
              <w:left w:w="90" w:type="dxa"/>
              <w:bottom w:w="80" w:type="dxa"/>
              <w:right w:w="90" w:type="dxa"/>
            </w:tcMar>
          </w:tcPr>
          <w:p w14:paraId="7CF6C82A" w14:textId="77777777">
            <w:pPr>
              <w:spacing w:after="0" w:line="240" w:lineRule="auto"/>
              <w:rPr>
                <w:rFonts w:asciiTheme="minorHAnsi" w:hAnsiTheme="minorHAnsi"/>
                <w:sz w:val="20"/>
                <w:szCs w:val="20"/>
              </w:rPr>
            </w:pPr>
            <w:r>
              <w:rPr>
                <w:rFonts w:asciiTheme="minorHAnsi" w:eastAsia="Arial" w:hAnsiTheme="minorHAnsi" w:cs="Arial"/>
                <w:sz w:val="20"/>
                <w:szCs w:val="20"/>
              </w:rPr>
              <w:t>Ethics and consent</w:t>
            </w:r>
          </w:p>
        </w:tc>
        <w:tc>
          <w:tcPr>
            <w:tcW w:w="8208" w:type="dxa"/>
            <w:tcMar>
              <w:top w:w="80" w:type="dxa"/>
              <w:left w:w="90" w:type="dxa"/>
              <w:bottom w:w="80" w:type="dxa"/>
              <w:right w:w="90" w:type="dxa"/>
            </w:tcMar>
            <w:vAlign w:val="center"/>
          </w:tcPr>
          <w:p w14:paraId="2269E36D" w14:textId="77777777">
            <w:pPr>
              <w:spacing w:after="0" w:line="240" w:lineRule="auto"/>
              <w:rPr>
                <w:rFonts w:asciiTheme="minorHAnsi" w:hAnsiTheme="minorHAnsi"/>
                <w:sz w:val="20"/>
                <w:szCs w:val="20"/>
              </w:rPr>
            </w:pPr>
            <w:r>
              <w:rPr>
                <w:rFonts w:asciiTheme="minorHAnsi" w:eastAsia="Arial" w:hAnsiTheme="minorHAnsi" w:cs="Arial"/>
                <w:sz w:val="20"/>
                <w:szCs w:val="20"/>
              </w:rPr>
              <w:t>The study concerned routine institutional examination implementation and reports only aggregate, non-identifiable operational information. The school examination was conducted under institutional authority, and no identifiable student records are disclosed in this publication.</w:t>
            </w:r>
          </w:p>
        </w:tc>
      </w:tr>
      <w:tr w14:paraId="0C60D346" w14:textId="77777777">
        <w:trPr>
          <w:jc w:val="center"/>
        </w:trPr>
        <w:tc>
          <w:tcPr>
            <w:tcW w:w="2160" w:type="dxa"/>
            <w:shd w:val="clear" w:color="auto" w:fill="F3F6FB"/>
            <w:tcMar>
              <w:top w:w="80" w:type="dxa"/>
              <w:left w:w="90" w:type="dxa"/>
              <w:bottom w:w="80" w:type="dxa"/>
              <w:right w:w="90" w:type="dxa"/>
            </w:tcMar>
          </w:tcPr>
          <w:p w14:paraId="57F32DCA" w14:textId="77777777">
            <w:pPr>
              <w:spacing w:after="0" w:line="240" w:lineRule="auto"/>
              <w:rPr>
                <w:rFonts w:asciiTheme="minorHAnsi" w:hAnsiTheme="minorHAnsi"/>
                <w:sz w:val="20"/>
                <w:szCs w:val="20"/>
              </w:rPr>
            </w:pPr>
            <w:r>
              <w:rPr>
                <w:rFonts w:asciiTheme="minorHAnsi" w:eastAsia="Arial" w:hAnsiTheme="minorHAnsi" w:cs="Arial"/>
                <w:sz w:val="20"/>
                <w:szCs w:val="20"/>
              </w:rPr>
              <w:t>Funding</w:t>
            </w:r>
          </w:p>
        </w:tc>
        <w:tc>
          <w:tcPr>
            <w:tcW w:w="8208" w:type="dxa"/>
            <w:shd w:val="clear" w:color="auto" w:fill="F3F6FB"/>
            <w:tcMar>
              <w:top w:w="80" w:type="dxa"/>
              <w:left w:w="90" w:type="dxa"/>
              <w:bottom w:w="80" w:type="dxa"/>
              <w:right w:w="90" w:type="dxa"/>
            </w:tcMar>
            <w:vAlign w:val="center"/>
          </w:tcPr>
          <w:p w14:paraId="27308B68" w14:textId="77777777">
            <w:pPr>
              <w:spacing w:after="0" w:line="240" w:lineRule="auto"/>
              <w:rPr>
                <w:rFonts w:asciiTheme="minorHAnsi" w:hAnsiTheme="minorHAnsi"/>
                <w:sz w:val="20"/>
                <w:szCs w:val="20"/>
              </w:rPr>
            </w:pPr>
            <w:r>
              <w:rPr>
                <w:rFonts w:asciiTheme="minorHAnsi" w:eastAsia="Arial" w:hAnsiTheme="minorHAnsi" w:cs="Arial"/>
                <w:sz w:val="20"/>
                <w:szCs w:val="20"/>
              </w:rPr>
              <w:t>The study received no specific external grant funding.</w:t>
            </w:r>
          </w:p>
        </w:tc>
      </w:tr>
      <w:tr w14:paraId="3BBCC2B2" w14:textId="77777777">
        <w:trPr>
          <w:jc w:val="center"/>
        </w:trPr>
        <w:tc>
          <w:tcPr>
            <w:tcW w:w="2160" w:type="dxa"/>
            <w:tcMar>
              <w:top w:w="80" w:type="dxa"/>
              <w:left w:w="90" w:type="dxa"/>
              <w:bottom w:w="80" w:type="dxa"/>
              <w:right w:w="90" w:type="dxa"/>
            </w:tcMar>
          </w:tcPr>
          <w:p w14:paraId="7995EAA2" w14:textId="77777777">
            <w:pPr>
              <w:spacing w:after="0" w:line="240" w:lineRule="auto"/>
              <w:rPr>
                <w:rFonts w:asciiTheme="minorHAnsi" w:hAnsiTheme="minorHAnsi"/>
                <w:sz w:val="20"/>
                <w:szCs w:val="20"/>
              </w:rPr>
            </w:pPr>
            <w:r>
              <w:rPr>
                <w:rFonts w:asciiTheme="minorHAnsi" w:eastAsia="Arial" w:hAnsiTheme="minorHAnsi" w:cs="Arial"/>
                <w:sz w:val="20"/>
                <w:szCs w:val="20"/>
              </w:rPr>
              <w:t>Competing interests</w:t>
            </w:r>
          </w:p>
        </w:tc>
        <w:tc>
          <w:tcPr>
            <w:tcW w:w="8208" w:type="dxa"/>
            <w:tcMar>
              <w:top w:w="80" w:type="dxa"/>
              <w:left w:w="90" w:type="dxa"/>
              <w:bottom w:w="80" w:type="dxa"/>
              <w:right w:w="90" w:type="dxa"/>
            </w:tcMar>
            <w:vAlign w:val="center"/>
          </w:tcPr>
          <w:p w14:paraId="075750A0" w14:textId="77777777">
            <w:pPr>
              <w:spacing w:after="0" w:line="240" w:lineRule="auto"/>
              <w:rPr>
                <w:rFonts w:asciiTheme="minorHAnsi" w:hAnsiTheme="minorHAnsi"/>
                <w:sz w:val="20"/>
                <w:szCs w:val="20"/>
              </w:rPr>
            </w:pPr>
            <w:r>
              <w:rPr>
                <w:rFonts w:asciiTheme="minorHAnsi" w:eastAsia="Arial" w:hAnsiTheme="minorHAnsi" w:cs="Arial"/>
                <w:sz w:val="20"/>
                <w:szCs w:val="20"/>
              </w:rPr>
              <w:t>The author participated in the design and implementation of the CACGWA portal and is affiliated with CHIA TECH SOLUTIONS AND RESOURCES LIMITED. This relationship is declared for transparency.</w:t>
            </w:r>
          </w:p>
        </w:tc>
      </w:tr>
      <w:tr w14:paraId="53308D65" w14:textId="77777777">
        <w:trPr>
          <w:jc w:val="center"/>
        </w:trPr>
        <w:tc>
          <w:tcPr>
            <w:tcW w:w="2160" w:type="dxa"/>
            <w:shd w:val="clear" w:color="auto" w:fill="F3F6FB"/>
            <w:tcMar>
              <w:top w:w="80" w:type="dxa"/>
              <w:left w:w="90" w:type="dxa"/>
              <w:bottom w:w="80" w:type="dxa"/>
              <w:right w:w="90" w:type="dxa"/>
            </w:tcMar>
          </w:tcPr>
          <w:p w14:paraId="538605D2" w14:textId="77777777">
            <w:pPr>
              <w:spacing w:after="0" w:line="240" w:lineRule="auto"/>
              <w:rPr>
                <w:rFonts w:asciiTheme="minorHAnsi" w:hAnsiTheme="minorHAnsi"/>
                <w:sz w:val="20"/>
                <w:szCs w:val="20"/>
              </w:rPr>
            </w:pPr>
            <w:r>
              <w:rPr>
                <w:rFonts w:asciiTheme="minorHAnsi" w:eastAsia="Arial" w:hAnsiTheme="minorHAnsi" w:cs="Arial"/>
                <w:sz w:val="20"/>
                <w:szCs w:val="20"/>
              </w:rPr>
              <w:t>Data availability</w:t>
            </w:r>
          </w:p>
        </w:tc>
        <w:tc>
          <w:tcPr>
            <w:tcW w:w="8208" w:type="dxa"/>
            <w:shd w:val="clear" w:color="auto" w:fill="F3F6FB"/>
            <w:tcMar>
              <w:top w:w="80" w:type="dxa"/>
              <w:left w:w="90" w:type="dxa"/>
              <w:bottom w:w="80" w:type="dxa"/>
              <w:right w:w="90" w:type="dxa"/>
            </w:tcMar>
            <w:vAlign w:val="center"/>
          </w:tcPr>
          <w:p w14:paraId="579A3D5A" w14:textId="77777777">
            <w:pPr>
              <w:spacing w:after="0" w:line="240" w:lineRule="auto"/>
              <w:rPr>
                <w:rFonts w:asciiTheme="minorHAnsi" w:hAnsiTheme="minorHAnsi"/>
                <w:sz w:val="20"/>
                <w:szCs w:val="20"/>
              </w:rPr>
            </w:pPr>
            <w:r>
              <w:rPr>
                <w:rFonts w:asciiTheme="minorHAnsi" w:eastAsia="Arial" w:hAnsiTheme="minorHAnsi" w:cs="Arial"/>
                <w:sz w:val="20"/>
                <w:szCs w:val="20"/>
              </w:rPr>
              <w:t>The principal analytical parameters, equations, simulation seed, and reproducibility specification are provided in the manuscript. Student-identifiable institutional examination records are not publicly released.</w:t>
            </w:r>
          </w:p>
        </w:tc>
      </w:tr>
      <w:tr w14:paraId="45D3B6CA" w14:textId="77777777">
        <w:trPr>
          <w:jc w:val="center"/>
        </w:trPr>
        <w:tc>
          <w:tcPr>
            <w:tcW w:w="2160" w:type="dxa"/>
            <w:tcMar>
              <w:top w:w="80" w:type="dxa"/>
              <w:left w:w="90" w:type="dxa"/>
              <w:bottom w:w="80" w:type="dxa"/>
              <w:right w:w="90" w:type="dxa"/>
            </w:tcMar>
          </w:tcPr>
          <w:p w14:paraId="08AD4485" w14:textId="77777777">
            <w:pPr>
              <w:spacing w:after="0" w:line="240" w:lineRule="auto"/>
              <w:rPr>
                <w:rFonts w:asciiTheme="minorHAnsi" w:hAnsiTheme="minorHAnsi"/>
                <w:sz w:val="20"/>
                <w:szCs w:val="20"/>
              </w:rPr>
            </w:pPr>
            <w:r>
              <w:rPr>
                <w:rFonts w:asciiTheme="minorHAnsi" w:eastAsia="Arial" w:hAnsiTheme="minorHAnsi" w:cs="Arial"/>
                <w:sz w:val="20"/>
                <w:szCs w:val="20"/>
              </w:rPr>
              <w:t>Software / reproducibility</w:t>
            </w:r>
          </w:p>
        </w:tc>
        <w:tc>
          <w:tcPr>
            <w:tcW w:w="8208" w:type="dxa"/>
            <w:tcMar>
              <w:top w:w="80" w:type="dxa"/>
              <w:left w:w="90" w:type="dxa"/>
              <w:bottom w:w="80" w:type="dxa"/>
              <w:right w:w="90" w:type="dxa"/>
            </w:tcMar>
            <w:vAlign w:val="center"/>
          </w:tcPr>
          <w:p w14:paraId="7A2A5A36" w14:textId="77777777">
            <w:pPr>
              <w:spacing w:after="0" w:line="240" w:lineRule="auto"/>
              <w:rPr>
                <w:rFonts w:asciiTheme="minorHAnsi" w:hAnsiTheme="minorHAnsi"/>
                <w:sz w:val="20"/>
                <w:szCs w:val="20"/>
              </w:rPr>
            </w:pPr>
            <w:r>
              <w:rPr>
                <w:rFonts w:asciiTheme="minorHAnsi" w:eastAsia="Arial" w:hAnsiTheme="minorHAnsi" w:cs="Arial"/>
                <w:sz w:val="20"/>
                <w:szCs w:val="20"/>
              </w:rPr>
              <w:t>Simulation used Python 3 with NumPy/SciPy-compatible random sampling and hypergeometric calculations. The random seed was 202606.</w:t>
            </w:r>
          </w:p>
        </w:tc>
      </w:tr>
      <w:tr w14:paraId="01A11318" w14:textId="77777777">
        <w:trPr>
          <w:jc w:val="center"/>
        </w:trPr>
        <w:tc>
          <w:tcPr>
            <w:tcW w:w="2160" w:type="dxa"/>
            <w:shd w:val="clear" w:color="auto" w:fill="F3F6FB"/>
            <w:tcMar>
              <w:top w:w="80" w:type="dxa"/>
              <w:left w:w="90" w:type="dxa"/>
              <w:bottom w:w="80" w:type="dxa"/>
              <w:right w:w="90" w:type="dxa"/>
            </w:tcMar>
          </w:tcPr>
          <w:p w14:paraId="66182FE2" w14:textId="77777777">
            <w:pPr>
              <w:spacing w:after="0" w:line="240" w:lineRule="auto"/>
              <w:rPr>
                <w:rFonts w:asciiTheme="minorHAnsi" w:hAnsiTheme="minorHAnsi"/>
                <w:sz w:val="20"/>
                <w:szCs w:val="20"/>
              </w:rPr>
            </w:pPr>
            <w:r>
              <w:rPr>
                <w:rFonts w:asciiTheme="minorHAnsi" w:eastAsia="Arial" w:hAnsiTheme="minorHAnsi" w:cs="Arial"/>
                <w:sz w:val="20"/>
                <w:szCs w:val="20"/>
              </w:rPr>
              <w:t>AI-assisted tools</w:t>
            </w:r>
          </w:p>
        </w:tc>
        <w:tc>
          <w:tcPr>
            <w:tcW w:w="8208" w:type="dxa"/>
            <w:shd w:val="clear" w:color="auto" w:fill="F3F6FB"/>
            <w:tcMar>
              <w:top w:w="80" w:type="dxa"/>
              <w:left w:w="90" w:type="dxa"/>
              <w:bottom w:w="80" w:type="dxa"/>
              <w:right w:w="90" w:type="dxa"/>
            </w:tcMar>
            <w:vAlign w:val="center"/>
          </w:tcPr>
          <w:p w14:paraId="48F1DC66" w14:textId="77777777">
            <w:pPr>
              <w:spacing w:after="0" w:line="240" w:lineRule="auto"/>
              <w:rPr>
                <w:rFonts w:asciiTheme="minorHAnsi" w:hAnsiTheme="minorHAnsi"/>
                <w:sz w:val="20"/>
                <w:szCs w:val="20"/>
              </w:rPr>
            </w:pPr>
            <w:r>
              <w:rPr>
                <w:rFonts w:asciiTheme="minorHAnsi" w:eastAsia="Arial" w:hAnsiTheme="minorHAnsi" w:cs="Arial"/>
                <w:sz w:val="20"/>
                <w:szCs w:val="20"/>
              </w:rPr>
              <w:t>AI-assisted language-editing and document-production tools were used during manuscript preparation. The author and editorial team verified the data, calculations, citations, and final text and accept full responsibility for the published content.</w:t>
            </w:r>
          </w:p>
        </w:tc>
      </w:tr>
      <w:tr w14:paraId="6D6604ED" w14:textId="77777777">
        <w:trPr>
          <w:jc w:val="center"/>
        </w:trPr>
        <w:tc>
          <w:tcPr>
            <w:tcW w:w="2160" w:type="dxa"/>
            <w:tcMar>
              <w:top w:w="80" w:type="dxa"/>
              <w:left w:w="90" w:type="dxa"/>
              <w:bottom w:w="80" w:type="dxa"/>
              <w:right w:w="90" w:type="dxa"/>
            </w:tcMar>
            <w:vAlign w:val="center"/>
          </w:tcPr>
          <w:p w14:paraId="1B6631A0" w14:textId="77777777">
            <w:pPr>
              <w:spacing w:after="0" w:line="240" w:lineRule="auto"/>
              <w:rPr>
                <w:rFonts w:asciiTheme="minorHAnsi" w:hAnsiTheme="minorHAnsi"/>
                <w:sz w:val="20"/>
                <w:szCs w:val="20"/>
              </w:rPr>
            </w:pPr>
            <w:r>
              <w:rPr>
                <w:rFonts w:asciiTheme="minorHAnsi" w:eastAsia="Arial" w:hAnsiTheme="minorHAnsi" w:cs="Arial"/>
                <w:sz w:val="20"/>
                <w:szCs w:val="20"/>
              </w:rPr>
              <w:t>Author contributions</w:t>
            </w:r>
          </w:p>
        </w:tc>
        <w:tc>
          <w:tcPr>
            <w:tcW w:w="8208" w:type="dxa"/>
            <w:tcMar>
              <w:top w:w="80" w:type="dxa"/>
              <w:left w:w="90" w:type="dxa"/>
              <w:bottom w:w="80" w:type="dxa"/>
              <w:right w:w="90" w:type="dxa"/>
            </w:tcMar>
            <w:vAlign w:val="center"/>
          </w:tcPr>
          <w:p>
            <w:r>
              <w:t>Chia, S. K.: Simulation; design; technology; backend programming; system control.</w:t>
            </w:r>
          </w:p>
          <w:p>
            <w:r>
              <w:t>Julius, B. J.: Mathematical permutation codes; system testing; debugging.</w:t>
            </w:r>
          </w:p>
          <w:p>
            <w:r>
              <w:t>Ukule, P.: Educational curriculum alignment; ethics; examination malpractice control.</w:t>
            </w:r>
          </w:p>
          <w:p>
            <w:r>
              <w:t>Elumeyan, E.: Feasibility analysis; data science.</w:t>
            </w:r>
          </w:p>
        </w:tc>
      </w:tr>
      <w:tr w14:paraId="594F3741" w14:textId="77777777">
        <w:trPr>
          <w:jc w:val="center"/>
        </w:trPr>
        <w:tc>
          <w:tcPr>
            <w:tcW w:w="2104" w:type="dxa"/>
            <w:shd w:val="clear" w:color="auto" w:fill="F3F6FB"/>
            <w:tcMar>
              <w:top w:w="80" w:type="dxa"/>
              <w:left w:w="90" w:type="dxa"/>
              <w:bottom w:w="80" w:type="dxa"/>
              <w:right w:w="90" w:type="dxa"/>
            </w:tcMar>
            <w:vAlign w:val="center"/>
          </w:tcPr>
          <w:p w14:paraId="7DD7F36D" w14:textId="77777777">
            <w:pPr>
              <w:spacing w:after="0" w:line="240" w:lineRule="auto"/>
              <w:rPr>
                <w:rFonts w:asciiTheme="minorHAnsi" w:hAnsiTheme="minorHAnsi"/>
                <w:sz w:val="20"/>
                <w:szCs w:val="20"/>
              </w:rPr>
            </w:pPr>
            <w:r>
              <w:rPr>
                <w:rFonts w:asciiTheme="minorHAnsi" w:eastAsia="Arial" w:hAnsiTheme="minorHAnsi" w:cs="Arial"/>
                <w:b/>
                <w:sz w:val="20"/>
                <w:szCs w:val="20"/>
              </w:rPr>
              <w:t>Peer review</w:t>
            </w:r>
          </w:p>
        </w:tc>
        <w:tc>
          <w:tcPr>
            <w:tcW w:w="7764" w:type="dxa"/>
            <w:shd w:val="clear" w:color="auto" w:fill="F3F6FB"/>
            <w:tcMar>
              <w:top w:w="80" w:type="dxa"/>
              <w:left w:w="90" w:type="dxa"/>
              <w:bottom w:w="80" w:type="dxa"/>
              <w:right w:w="90" w:type="dxa"/>
            </w:tcMar>
            <w:vAlign w:val="center"/>
          </w:tcPr>
          <w:p w14:paraId="60A29C33" w14:textId="77777777">
            <w:pPr>
              <w:spacing w:after="0" w:line="240" w:lineRule="auto"/>
              <w:rPr>
                <w:rFonts w:asciiTheme="minorHAnsi" w:hAnsiTheme="minorHAnsi"/>
                <w:sz w:val="20"/>
                <w:szCs w:val="20"/>
              </w:rPr>
            </w:pPr>
            <w:r>
              <w:rPr>
                <w:rFonts w:asciiTheme="minorHAnsi" w:eastAsia="Arial" w:hAnsiTheme="minorHAnsi" w:cs="Arial"/>
                <w:sz w:val="20"/>
                <w:szCs w:val="20"/>
              </w:rPr>
              <w:t>The article underwent double-blind peer review and was accepted for the CHIATECH JOURNAL Pioneer Publication, Volume 1, Issue 1, July 2026.</w:t>
            </w:r>
          </w:p>
        </w:tc>
      </w:tr>
      <w:tr w14:paraId="7892624F" w14:textId="77777777">
        <w:trPr>
          <w:jc w:val="center"/>
        </w:trPr>
        <w:tc>
          <w:tcPr>
            <w:tcW w:w="2104" w:type="dxa"/>
            <w:tcMar>
              <w:top w:w="80" w:type="dxa"/>
              <w:left w:w="90" w:type="dxa"/>
              <w:bottom w:w="80" w:type="dxa"/>
              <w:right w:w="90" w:type="dxa"/>
            </w:tcMar>
            <w:vAlign w:val="center"/>
          </w:tcPr>
          <w:p w14:paraId="4F079393" w14:textId="77777777">
            <w:pPr>
              <w:spacing w:after="0" w:line="240" w:lineRule="auto"/>
              <w:rPr>
                <w:rFonts w:asciiTheme="minorHAnsi" w:hAnsiTheme="minorHAnsi"/>
                <w:sz w:val="20"/>
                <w:szCs w:val="20"/>
              </w:rPr>
            </w:pPr>
            <w:r>
              <w:rPr>
                <w:rFonts w:asciiTheme="minorHAnsi" w:eastAsia="Arial" w:hAnsiTheme="minorHAnsi" w:cs="Arial"/>
                <w:b/>
                <w:sz w:val="20"/>
                <w:szCs w:val="20"/>
              </w:rPr>
              <w:t>Copyright and licence</w:t>
            </w:r>
          </w:p>
        </w:tc>
        <w:tc>
          <w:tcPr>
            <w:tcW w:w="7764" w:type="dxa"/>
            <w:tcMar>
              <w:top w:w="80" w:type="dxa"/>
              <w:left w:w="90" w:type="dxa"/>
              <w:bottom w:w="80" w:type="dxa"/>
              <w:right w:w="90" w:type="dxa"/>
            </w:tcMar>
            <w:vAlign w:val="center"/>
          </w:tcPr>
          <w:p w14:paraId="70B55BDF" w14:textId="77777777">
            <w:pPr>
              <w:spacing w:after="0" w:line="240" w:lineRule="auto"/>
              <w:rPr>
                <w:rFonts w:asciiTheme="minorHAnsi" w:hAnsiTheme="minorHAnsi"/>
                <w:sz w:val="20"/>
                <w:szCs w:val="20"/>
              </w:rPr>
            </w:pPr>
            <w:r>
              <w:rPr>
                <w:rFonts w:asciiTheme="minorHAnsi" w:eastAsia="Arial" w:hAnsiTheme="minorHAnsi" w:cs="Arial"/>
                <w:sz w:val="20"/>
                <w:szCs w:val="20"/>
              </w:rPr>
              <w:t>© 2026 The authors. Published open access under the Creative Commons Attribution 4.0 International (CC BY 4.0) licence.</w:t>
            </w:r>
          </w:p>
        </w:tc>
      </w:tr>
    </w:tbl>
    <w:p w14:paraId="22D26AE9" w14:textId="77777777">
      <w:pPr>
        <w:pStyle w:val="Caption"/>
        <w:spacing w:after="0"/>
        <w:rPr>
          <w:rFonts w:asciiTheme="minorHAnsi" w:hAnsiTheme="minorHAnsi"/>
          <w:sz w:val="20"/>
          <w:szCs w:val="20"/>
        </w:rPr>
      </w:pPr>
      <w:r>
        <w:rPr>
          <w:rFonts w:asciiTheme="minorHAnsi" w:eastAsia="Arial" w:hAnsiTheme="minorHAnsi" w:cs="Arial"/>
          <w:sz w:val="20"/>
          <w:szCs w:val="20"/>
        </w:rPr>
        <w:t>Table 8. Publication declarations, author contribution, and reproducibility statements.</w:t>
      </w:r>
    </w:p>
    <w:p w14:paraId="7D5C2A02" w14:textId="77777777">
      <w:pPr>
        <w:pStyle w:val="Heading1"/>
        <w:spacing w:after="0"/>
        <w:rPr>
          <w:rFonts w:asciiTheme="minorHAnsi" w:hAnsiTheme="minorHAnsi"/>
          <w:sz w:val="20"/>
          <w:szCs w:val="20"/>
        </w:rPr>
      </w:pPr>
      <w:r>
        <w:rPr>
          <w:rFonts w:asciiTheme="minorHAnsi" w:hAnsiTheme="minorHAnsi"/>
          <w:sz w:val="20"/>
          <w:szCs w:val="20"/>
        </w:rPr>
        <w:t>References</w:t>
      </w:r>
    </w:p>
    <w:p w14:paraId="53C485DD"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Abanobi, C. C. (2022). Comparative analysis of academic achievement scores of secondary school students exposed to Computer-Based Test (CBT) and Paper and Pen Test (PPT) in Economics in Nigeria. Asian Journal of Advances in Research, 16(1), 11–21.</w:t>
      </w:r>
    </w:p>
    <w:p w14:paraId="355041EF"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Abanobi, C. C., Agu, N. N., Eleje, L. I., Metu, I. C., Mbelede, N. G., &amp; Ezeugo, N. C. (2023). Effects of Computer-Based Test (CBT) and Paper and Pencil Test (PPT) on academic achievement and test anxiety of secondary school students in Economics. Innovare Journal of Education, 11(1), 35–41. https://doi.org/10.22159/ijoe.2023v11i1.45960</w:t>
      </w:r>
    </w:p>
    <w:p w14:paraId="62FE2EB6"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Abdulkareem, Z., &amp; Lennon, M. (2025). Impact of digital divide on students’ performance in computerised UTME in Nigeria. Information Development, 41(4), 1265–1280. https://doi.org/10.1177/02666669231191734</w:t>
      </w:r>
    </w:p>
    <w:p w14:paraId="4C52E17F"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American Educational Research Association, American Psychological Association, &amp; National Council on Measurement in Education. (2014). Standards for educational and psychological testing. American Educational Research Association.</w:t>
      </w:r>
    </w:p>
    <w:p w14:paraId="22A195C3"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 xml:space="preserve">Berkhout, E., Pradhan, M., Rahmawati, Suryadarma, D., &amp; Swarnata, A. (2024). Using technology to prevent fraud in </w:t>
      </w:r>
      <w:proofErr w:type="gramStart"/>
      <w:r>
        <w:rPr>
          <w:rFonts w:asciiTheme="minorHAnsi" w:eastAsia="Arial" w:hAnsiTheme="minorHAnsi" w:cs="Arial"/>
          <w:sz w:val="20"/>
          <w:szCs w:val="20"/>
        </w:rPr>
        <w:t>high stakes</w:t>
      </w:r>
      <w:proofErr w:type="gramEnd"/>
      <w:r>
        <w:rPr>
          <w:rFonts w:asciiTheme="minorHAnsi" w:eastAsia="Arial" w:hAnsiTheme="minorHAnsi" w:cs="Arial"/>
          <w:sz w:val="20"/>
          <w:szCs w:val="20"/>
        </w:rPr>
        <w:t xml:space="preserve"> national school examinations: Evidence from Indonesia. Journal of Development Economics, 170, 103307. https://doi.org/10.1016/j.jdeveco.2024.103307</w:t>
      </w:r>
    </w:p>
    <w:p w14:paraId="2BFB1E67"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Christ Anglican College, Gwagwalada. (2026). CACGWA Student Revision and CBT Portal. https://cacgwa.com.ng/portal</w:t>
      </w:r>
    </w:p>
    <w:p w14:paraId="5BCA109C"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lastRenderedPageBreak/>
        <w:t>International Test Commission. (2006). International guidelines on computer-based and Internet-delivered testing. International Journal of Testing, 6(2), 143–171. https://doi.org/10.1207/s15327574ijt0602_4</w:t>
      </w:r>
    </w:p>
    <w:p w14:paraId="71EC1D8A"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Liu, C., Han, K. T., &amp; Li, J. (2019). Compromised item detection for computerized adaptive testing. Frontiers in Psychology, 10, 829. https://doi.org/10.3389/fpsyg.2019.00829</w:t>
      </w:r>
    </w:p>
    <w:p w14:paraId="0A36346B"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Scheuermann, F., &amp; Björnsson, J. (Eds.). (2009). The transition to computer-based assessment: New approaches to skills assessment and implications for large-scale testing. Office for Official Publications of the European Communities.</w:t>
      </w:r>
    </w:p>
    <w:p w14:paraId="5C8594F5"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Way, W. D. (1998). Protecting the integrity of computerized testing item pools. Educational Measurement: Issues and Practice, 17(4), 17–27. https://doi.org/10.1111/j.1745-3992.1998.tb00632.x</w:t>
      </w:r>
    </w:p>
    <w:p w14:paraId="0BB05BAA"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Yi, Q., Zhang, J., &amp; Chang, H.-H. (2008). Severity of organized item theft in computerized adaptive testing: A simulation study. Applied Psychological Measurement, 32(7), 543–558. https://doi.org/10.1177/0146621607311336</w:t>
      </w:r>
    </w:p>
    <w:p w14:paraId="07B94860" w14:textId="77777777">
      <w:pPr>
        <w:spacing w:after="0"/>
        <w:ind w:left="360" w:hanging="360"/>
        <w:jc w:val="both"/>
        <w:rPr>
          <w:rFonts w:asciiTheme="minorHAnsi" w:hAnsiTheme="minorHAnsi"/>
          <w:sz w:val="20"/>
          <w:szCs w:val="20"/>
        </w:rPr>
      </w:pPr>
      <w:r>
        <w:rPr>
          <w:rFonts w:asciiTheme="minorHAnsi" w:eastAsia="Arial" w:hAnsiTheme="minorHAnsi" w:cs="Arial"/>
          <w:sz w:val="20"/>
          <w:szCs w:val="20"/>
        </w:rPr>
        <w:t>Zhang, J., &amp; Chang, H.-H. (2005). The effectiveness of enhancing test security by using multiple item pools (ETS Research Report RR-05-19). Educational Testing Service. https://doi.org/10.1002/j.2333-8504.2005.tb01996.x</w:t>
      </w:r>
    </w:p>
    <w:p w14:paraId="6A1A4684" w14:textId="77777777">
      <w:pPr>
        <w:pStyle w:val="Heading1"/>
        <w:spacing w:after="0"/>
        <w:rPr>
          <w:rFonts w:asciiTheme="minorHAnsi" w:hAnsiTheme="minorHAnsi"/>
          <w:sz w:val="20"/>
          <w:szCs w:val="20"/>
        </w:rPr>
      </w:pPr>
      <w:r>
        <w:rPr>
          <w:rFonts w:asciiTheme="minorHAnsi" w:hAnsiTheme="minorHAnsi"/>
          <w:sz w:val="20"/>
          <w:szCs w:val="20"/>
        </w:rPr>
        <w:t>Appendix. Reproducible Simulation Specification</w:t>
      </w:r>
    </w:p>
    <w:p w14:paraId="0D102646" w14:textId="77777777">
      <w:pPr>
        <w:spacing w:after="0"/>
        <w:rPr>
          <w:rFonts w:asciiTheme="minorHAnsi" w:hAnsiTheme="minorHAnsi"/>
          <w:sz w:val="20"/>
          <w:szCs w:val="20"/>
        </w:rPr>
      </w:pPr>
      <w:r>
        <w:rPr>
          <w:rFonts w:asciiTheme="minorHAnsi" w:eastAsia="Arial" w:hAnsiTheme="minorHAnsi" w:cs="Arial"/>
          <w:sz w:val="20"/>
          <w:szCs w:val="20"/>
        </w:rPr>
        <w:t>The following compact specification reproduces the principal simulation results and provides an implementation-neutral analytical reference for the 500-item-bank/70-item-paper model.</w:t>
      </w:r>
    </w:p>
    <w:tbl>
      <w:tblPr>
        <w:tblW w:w="0" w:type="auto"/>
        <w:tblBorders>
          <w:top w:val="single" w:sz="5" w:space="0" w:color="C6D3E5"/>
          <w:left w:val="single" w:sz="5" w:space="0" w:color="C6D3E5"/>
          <w:bottom w:val="single" w:sz="5" w:space="0" w:color="C6D3E5"/>
          <w:right w:val="single" w:sz="5" w:space="0" w:color="C6D3E5"/>
          <w:insideH w:val="single" w:sz="5" w:space="0" w:color="C6D3E5"/>
          <w:insideV w:val="single" w:sz="5" w:space="0" w:color="C6D3E5"/>
        </w:tblBorders>
        <w:tblLook w:val="04A0" w:firstRow="1" w:lastRow="0" w:firstColumn="1" w:lastColumn="0" w:noHBand="0" w:noVBand="1"/>
      </w:tblPr>
      <w:tblGrid>
        <w:gridCol w:w="9878"/>
      </w:tblGrid>
      <w:tr w14:paraId="6D12E975" w14:textId="77777777">
        <w:trPr>
          <w:tblHeader/>
        </w:trPr>
        <w:tc>
          <w:tcPr>
            <w:tcW w:w="9878" w:type="dxa"/>
            <w:shd w:val="clear" w:color="auto" w:fill="F3F6FB"/>
          </w:tcPr>
          <w:p w14:paraId="3F99099F" w14:textId="77777777">
            <w:pPr>
              <w:spacing w:after="0"/>
              <w:rPr>
                <w:rFonts w:asciiTheme="minorHAnsi" w:hAnsiTheme="minorHAnsi"/>
                <w:sz w:val="20"/>
                <w:szCs w:val="20"/>
              </w:rPr>
            </w:pPr>
            <w:r>
              <w:rPr>
                <w:rFonts w:asciiTheme="minorHAnsi" w:eastAsia="Consolas" w:hAnsiTheme="minorHAnsi" w:cs="Consolas"/>
                <w:sz w:val="20"/>
                <w:szCs w:val="20"/>
              </w:rPr>
              <w:t>seed = 202606</w:t>
            </w:r>
            <w:r>
              <w:rPr>
                <w:rFonts w:asciiTheme="minorHAnsi" w:eastAsia="Consolas" w:hAnsiTheme="minorHAnsi" w:cs="Consolas"/>
                <w:sz w:val="20"/>
                <w:szCs w:val="20"/>
              </w:rPr>
              <w:br/>
              <w:t>bank_size = 500</w:t>
            </w:r>
            <w:r>
              <w:rPr>
                <w:rFonts w:asciiTheme="minorHAnsi" w:eastAsia="Consolas" w:hAnsiTheme="minorHAnsi" w:cs="Consolas"/>
                <w:sz w:val="20"/>
                <w:szCs w:val="20"/>
              </w:rPr>
              <w:br/>
              <w:t>paper_length = 70</w:t>
            </w:r>
            <w:r>
              <w:rPr>
                <w:rFonts w:asciiTheme="minorHAnsi" w:eastAsia="Consolas" w:hAnsiTheme="minorHAnsi" w:cs="Consolas"/>
                <w:sz w:val="20"/>
                <w:szCs w:val="20"/>
              </w:rPr>
              <w:br/>
              <w:t>candidates = 200</w:t>
            </w:r>
            <w:r>
              <w:rPr>
                <w:rFonts w:asciiTheme="minorHAnsi" w:eastAsia="Consolas" w:hAnsiTheme="minorHAnsi" w:cs="Consolas"/>
                <w:sz w:val="20"/>
                <w:szCs w:val="20"/>
              </w:rPr>
              <w:br/>
              <w:t>replications = 1000</w:t>
            </w:r>
            <w:r>
              <w:rPr>
                <w:rFonts w:asciiTheme="minorHAnsi" w:eastAsia="Consolas" w:hAnsiTheme="minorHAnsi" w:cs="Consolas"/>
                <w:sz w:val="20"/>
                <w:szCs w:val="20"/>
              </w:rPr>
              <w:br/>
            </w:r>
            <w:r>
              <w:rPr>
                <w:rFonts w:asciiTheme="minorHAnsi" w:eastAsia="Consolas" w:hAnsiTheme="minorHAnsi" w:cs="Consolas"/>
                <w:sz w:val="20"/>
                <w:szCs w:val="20"/>
              </w:rPr>
              <w:br/>
              <w:t>for r in 1..replications:</w:t>
            </w:r>
            <w:r>
              <w:rPr>
                <w:rFonts w:asciiTheme="minorHAnsi" w:eastAsia="Consolas" w:hAnsiTheme="minorHAnsi" w:cs="Consolas"/>
                <w:sz w:val="20"/>
                <w:szCs w:val="20"/>
              </w:rPr>
              <w:br/>
              <w:t xml:space="preserve">    for candidate in 1..candidates:</w:t>
            </w:r>
            <w:r>
              <w:rPr>
                <w:rFonts w:asciiTheme="minorHAnsi" w:eastAsia="Consolas" w:hAnsiTheme="minorHAnsi" w:cs="Consolas"/>
                <w:sz w:val="20"/>
                <w:szCs w:val="20"/>
              </w:rPr>
              <w:br/>
              <w:t xml:space="preserve">        form[candidate] = random_sample_without_replacement(1..500, 70)</w:t>
            </w:r>
            <w:r>
              <w:rPr>
                <w:rFonts w:asciiTheme="minorHAnsi" w:eastAsia="Consolas" w:hAnsiTheme="minorHAnsi" w:cs="Consolas"/>
                <w:sz w:val="20"/>
                <w:szCs w:val="20"/>
              </w:rPr>
              <w:br/>
              <w:t xml:space="preserve">    exposure[item] = count(candidate forms containing item)</w:t>
            </w:r>
            <w:r>
              <w:rPr>
                <w:rFonts w:asciiTheme="minorHAnsi" w:eastAsia="Consolas" w:hAnsiTheme="minorHAnsi" w:cs="Consolas"/>
                <w:sz w:val="20"/>
                <w:szCs w:val="20"/>
              </w:rPr>
              <w:br/>
              <w:t xml:space="preserve">    overlap[i,j] = size(intersection(form[i], form[j])) for all i&lt;j</w:t>
            </w:r>
            <w:r>
              <w:rPr>
                <w:rFonts w:asciiTheme="minorHAnsi" w:eastAsia="Consolas" w:hAnsiTheme="minorHAnsi" w:cs="Consolas"/>
                <w:sz w:val="20"/>
                <w:szCs w:val="20"/>
              </w:rPr>
              <w:br/>
              <w:t xml:space="preserve">    save mean(overlap), percentile95(overlap), max(overlap), min/max/sd(exposure)</w:t>
            </w:r>
            <w:r>
              <w:rPr>
                <w:rFonts w:asciiTheme="minorHAnsi" w:eastAsia="Consolas" w:hAnsiTheme="minorHAnsi" w:cs="Consolas"/>
                <w:sz w:val="20"/>
                <w:szCs w:val="20"/>
              </w:rPr>
              <w:br/>
            </w:r>
            <w:r>
              <w:rPr>
                <w:rFonts w:asciiTheme="minorHAnsi" w:eastAsia="Consolas" w:hAnsiTheme="minorHAnsi" w:cs="Consolas"/>
                <w:sz w:val="20"/>
                <w:szCs w:val="20"/>
              </w:rPr>
              <w:br/>
              <w:t>Exact model:</w:t>
            </w:r>
            <w:r>
              <w:rPr>
                <w:rFonts w:asciiTheme="minorHAnsi" w:eastAsia="Consolas" w:hAnsiTheme="minorHAnsi" w:cs="Consolas"/>
                <w:sz w:val="20"/>
                <w:szCs w:val="20"/>
              </w:rPr>
              <w:br/>
              <w:t xml:space="preserve">    pairwise overlap X ~ Hypergeometric(N=500, K=70, n=70)</w:t>
            </w:r>
            <w:r>
              <w:rPr>
                <w:rFonts w:asciiTheme="minorHAnsi" w:eastAsia="Consolas" w:hAnsiTheme="minorHAnsi" w:cs="Consolas"/>
                <w:sz w:val="20"/>
                <w:szCs w:val="20"/>
              </w:rPr>
              <w:br/>
              <w:t xml:space="preserve">    fixed-item exposure Y ~ Binomial(n=200, p=70/500)</w:t>
            </w:r>
            <w:r>
              <w:rPr>
                <w:rFonts w:asciiTheme="minorHAnsi" w:eastAsia="Consolas" w:hAnsiTheme="minorHAnsi" w:cs="Consolas"/>
                <w:sz w:val="20"/>
                <w:szCs w:val="20"/>
              </w:rPr>
              <w:br/>
            </w:r>
          </w:p>
        </w:tc>
      </w:tr>
    </w:tbl>
    <w:p w14:paraId="09931F66" w14:textId="77777777">
      <w:pPr>
        <w:spacing w:after="0"/>
        <w:rPr>
          <w:rFonts w:asciiTheme="minorHAnsi" w:hAnsiTheme="minorHAnsi"/>
          <w:sz w:val="20"/>
          <w:szCs w:val="20"/>
        </w:rPr>
      </w:pPr>
    </w:p>
    <w:p w14:paraId="6C284320" w14:textId="77777777">
      <w:pPr>
        <w:pStyle w:val="Heading1"/>
        <w:spacing w:after="0"/>
        <w:rPr>
          <w:rFonts w:asciiTheme="minorHAnsi" w:hAnsiTheme="minorHAnsi"/>
          <w:sz w:val="20"/>
          <w:szCs w:val="20"/>
        </w:rPr>
      </w:pPr>
      <w:r>
        <w:rPr>
          <w:rFonts w:asciiTheme="minorHAnsi" w:hAnsiTheme="minorHAnsi"/>
          <w:sz w:val="20"/>
          <w:szCs w:val="20"/>
        </w:rPr>
        <w:t>Publication record</w:t>
      </w:r>
    </w:p>
    <w:tbl>
      <w:tblPr>
        <w:tblW w:w="0" w:type="auto"/>
        <w:jc w:val="center"/>
        <w:tblBorders>
          <w:top w:val="single" w:sz="5" w:space="0" w:color="B7C6DB"/>
          <w:left w:val="single" w:sz="5" w:space="0" w:color="B7C6DB"/>
          <w:bottom w:val="single" w:sz="5" w:space="0" w:color="B7C6DB"/>
          <w:right w:val="single" w:sz="5" w:space="0" w:color="B7C6DB"/>
          <w:insideH w:val="single" w:sz="5" w:space="0" w:color="B7C6DB"/>
          <w:insideV w:val="single" w:sz="5" w:space="0" w:color="B7C6DB"/>
        </w:tblBorders>
        <w:tblLook w:val="04A0" w:firstRow="1" w:lastRow="0" w:firstColumn="1" w:lastColumn="0" w:noHBand="0" w:noVBand="1"/>
      </w:tblPr>
      <w:tblGrid>
        <w:gridCol w:w="10111"/>
      </w:tblGrid>
      <w:tr w14:paraId="3401B18F" w14:textId="77777777">
        <w:trPr>
          <w:tblHeader/>
          <w:jc w:val="center"/>
        </w:trPr>
        <w:tc>
          <w:tcPr>
            <w:tcW w:w="10123" w:type="dxa"/>
            <w:shd w:val="clear" w:color="auto" w:fill="F3F6FB"/>
            <w:tcMar>
              <w:top w:w="80" w:type="dxa"/>
              <w:left w:w="90" w:type="dxa"/>
              <w:bottom w:w="80" w:type="dxa"/>
              <w:right w:w="90" w:type="dxa"/>
            </w:tcMar>
            <w:vAlign w:val="center"/>
          </w:tcPr>
          <w:p w14:paraId="5FA40FDE" w14:textId="77777777">
            <w:pPr>
              <w:spacing w:after="0" w:line="240" w:lineRule="auto"/>
              <w:rPr>
                <w:rFonts w:asciiTheme="minorHAnsi" w:hAnsiTheme="minorHAnsi"/>
                <w:sz w:val="20"/>
                <w:szCs w:val="20"/>
              </w:rPr>
            </w:pPr>
            <w:r>
              <w:rPr>
                <w:rFonts w:asciiTheme="minorHAnsi" w:eastAsia="Arial" w:hAnsiTheme="minorHAnsi" w:cs="Arial"/>
                <w:sz w:val="20"/>
                <w:szCs w:val="20"/>
              </w:rPr>
              <w:t>How to cite: Chia, S. K., Julius, B. J., Ukule, P., &amp; Elumeyan, E. (2026). Design, simulation, implementation, and operational evaluation of the CACGWA Student Revision and CBT Portal: A 500-item-bank randomized assessment model for senior secondary school examinations. CHIATECH JOURNAL, 1(1), e001. DOI pending.</w:t>
            </w:r>
            <w:r>
              <w:rPr>
                <w:rFonts w:asciiTheme="minorHAnsi" w:eastAsia="Arial" w:hAnsiTheme="minorHAnsi" w:cs="Arial"/>
                <w:sz w:val="20"/>
                <w:szCs w:val="20"/>
              </w:rPr>
              <w:br/>
              <w:t>Article: e001 · Pioneer Publication · Volume 1, Issue 1 · July 2026</w:t>
            </w:r>
            <w:r>
              <w:rPr>
                <w:rFonts w:asciiTheme="minorHAnsi" w:eastAsia="Arial" w:hAnsiTheme="minorHAnsi" w:cs="Arial"/>
                <w:sz w:val="20"/>
                <w:szCs w:val="20"/>
              </w:rPr>
              <w:br/>
              <w:t>ISSN: Pending assignment · DOI: Pending registration</w:t>
            </w:r>
            <w:r>
              <w:rPr>
                <w:rFonts w:asciiTheme="minorHAnsi" w:eastAsia="Arial" w:hAnsiTheme="minorHAnsi" w:cs="Arial"/>
                <w:sz w:val="20"/>
                <w:szCs w:val="20"/>
              </w:rPr>
              <w:br/>
              <w:t>Publisher: CHIA TECH SOLUTIONS AND RESOURCES LIMITED · RC 1839865 · Nigeria</w:t>
            </w:r>
            <w:r>
              <w:rPr>
                <w:rFonts w:asciiTheme="minorHAnsi" w:eastAsia="Arial" w:hAnsiTheme="minorHAnsi" w:cs="Arial"/>
                <w:sz w:val="20"/>
                <w:szCs w:val="20"/>
              </w:rPr>
              <w:br/>
              <w:t>Journal contact: chiatechlibrary@gmail.com</w:t>
            </w:r>
          </w:p>
        </w:tc>
      </w:tr>
    </w:tbl>
    <w:p w14:paraId="400582BB" w14:textId="77777777">
      <w:pPr>
        <w:spacing w:after="0"/>
        <w:rPr>
          <w:rFonts w:asciiTheme="minorHAnsi" w:hAnsiTheme="minorHAnsi"/>
          <w:sz w:val="20"/>
          <w:szCs w:val="20"/>
        </w:rPr>
      </w:pPr>
    </w:p>
    <w:sectPr>
      <w:headerReference w:type="default" r:id="rId18"/>
      <w:footerReference w:type="default" r:id="rId19"/>
      <w:pgSz w:w="11909" w:h="16834"/>
      <w:pgMar w:top="792" w:right="893" w:bottom="792" w:left="893" w:header="216"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56847" w14:textId="77777777">
      <w:pPr>
        <w:spacing w:after="0" w:line="240" w:lineRule="auto"/>
      </w:pPr>
      <w:r>
        <w:separator/>
      </w:r>
    </w:p>
  </w:endnote>
  <w:endnote w:type="continuationSeparator" w:id="0">
    <w:p w14:paraId="19F56F2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42C1" w14:textId="77777777">
    <w:pPr>
      <w:pStyle w:val="Footer"/>
      <w:spacing w:before="40"/>
      <w:jc w:val="center"/>
    </w:pPr>
    <w:r>
      <w:rPr>
        <w:color w:val="52616B"/>
        <w:sz w:val="16"/>
      </w:rPr>
      <w:t xml:space="preserve">Published by CHIA TECH SOLUTIONS AND RESOURCES LIMITED · © 2026 The authors · CC BY 4.0 · Page </w:t>
    </w:r>
    <w:proofErr w:type="gramStart"/>
    <w:r>
      <w:rPr>
        <w:color w:val="52616B"/>
        <w:sz w:val="16"/>
      </w:rPr>
    </w:r>
    <w:proofErr w:type="gramEnd"/>
    <w:r>
      <w:rPr>
        <w:color w:val="52616B"/>
        <w:sz w:val="16"/>
      </w:rPr>
    </w:r>
    <w:proofErr w:type="gramStart"/>
    <w:r>
      <w:rPr>
        <w:color w:val="52616B"/>
        <w:sz w:val="16"/>
      </w:rPr>
    </w:r>
    <w:proofErr w:type="gramEnd"/>
    <w:r>
      <w:rPr>
        <w:color w:val="52616B"/>
        <w:sz w:val="16"/>
      </w:rPr>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p w14:paraId="2DB79180" w14:textId="77777777">
    <w:pPr>
      <w:spacing w:after="0"/>
      <w:jc w:val="center"/>
    </w:pPr>
    <w:r>
      <w:rPr>
        <w:rFonts w:eastAsia="Arial" w:cs="Arial"/>
        <w:color w:val="5B6573"/>
        <w:sz w:val="13"/>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BD82F" w14:textId="77777777">
      <w:pPr>
        <w:spacing w:after="0" w:line="240" w:lineRule="auto"/>
      </w:pPr>
      <w:r>
        <w:separator/>
      </w:r>
    </w:p>
  </w:footnote>
  <w:footnote w:type="continuationSeparator" w:id="0">
    <w:p w14:paraId="6A19859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6B6D" w14:textId="77777777">
    <w:pPr>
      <w:pStyle w:val="Header"/>
      <w:jc w:val="center"/>
    </w:pPr>
    <w:r>
      <w:rPr>
        <w:b/>
        <w:color w:val="0B3D5C"/>
        <w:sz w:val="16"/>
      </w:rPr>
      <w:t xml:space="preserve">CHIATECH </w:t>
    </w:r>
    <w:proofErr w:type="gramStart"/>
    <w:r>
      <w:rPr>
        <w:b/>
        <w:color w:val="0B3D5C"/>
        <w:sz w:val="16"/>
      </w:rPr>
      <w:t>JOURNAL  |</w:t>
    </w:r>
    <w:proofErr w:type="gramEnd"/>
    <w:r>
      <w:rPr>
        <w:b/>
        <w:color w:val="0B3D5C"/>
        <w:sz w:val="16"/>
      </w:rPr>
      <w:t xml:space="preserve">  </w:t>
    </w:r>
    <w:proofErr w:type="gramStart"/>
    <w:r>
      <w:rPr>
        <w:b/>
        <w:color w:val="0B3D5C"/>
        <w:sz w:val="16"/>
      </w:rPr>
      <w:t>SETEHEM  |</w:t>
    </w:r>
    <w:proofErr w:type="gramEnd"/>
    <w:r>
      <w:rPr>
        <w:b/>
        <w:color w:val="0B3D5C"/>
        <w:sz w:val="16"/>
      </w:rPr>
      <w:t xml:space="preserve">  VOLUME 1 · ISSUE 1 · JULY </w:t>
    </w:r>
    <w:proofErr w:type="gramStart"/>
    <w:r>
      <w:rPr>
        <w:b/>
        <w:color w:val="0B3D5C"/>
        <w:sz w:val="16"/>
      </w:rPr>
      <w:t>2026  |</w:t>
    </w:r>
    <w:proofErr w:type="gramEnd"/>
    <w:r>
      <w:rPr>
        <w:b/>
        <w:color w:val="0B3D5C"/>
        <w:sz w:val="16"/>
      </w:rPr>
      <w:t xml:space="preserve">  e001</w:t>
    </w:r>
  </w:p>
  <w:tbl>
    <w:tblPr>
      <w:tblW w:w="0" w:type="auto"/>
      <w:jc w:val="center"/>
      <w:tblBorders>
        <w:top w:val="nil"/>
        <w:left w:val="nil"/>
        <w:bottom w:val="single" w:sz="10" w:space="0" w:color="1656B8"/>
        <w:right w:val="nil"/>
        <w:insideH w:val="nil"/>
        <w:insideV w:val="nil"/>
      </w:tblBorders>
      <w:tblLayout w:type="fixed"/>
      <w:tblLook w:val="04A0" w:firstRow="1" w:lastRow="0" w:firstColumn="1" w:lastColumn="0" w:noHBand="0" w:noVBand="1"/>
    </w:tblPr>
    <w:tblGrid>
      <w:gridCol w:w="1296"/>
      <w:gridCol w:w="7560"/>
      <w:gridCol w:w="1296"/>
    </w:tblGrid>
    <w:tr w14:paraId="657C6F94" w14:textId="77777777">
      <w:trPr>
        <w:tblHeader/>
        <w:jc w:val="center"/>
      </w:trPr>
      <w:tc>
        <w:tcPr>
          <w:tcW w:w="1296" w:type="dxa"/>
          <w:tcBorders>
            <w:bottom w:val="single" w:sz="10" w:space="0" w:color="173BC4"/>
          </w:tcBorders>
          <w:tcMar>
            <w:top w:w="20" w:type="dxa"/>
            <w:left w:w="20" w:type="dxa"/>
            <w:bottom w:w="30" w:type="dxa"/>
            <w:right w:w="20" w:type="dxa"/>
          </w:tcMar>
          <w:vAlign w:val="center"/>
        </w:tcPr>
        <w:p w14:paraId="58511421" w14:textId="77777777">
          <w:pPr>
            <w:jc w:val="center"/>
          </w:pPr>
          <w:r>
            <w:rPr>
              <w:noProof/>
            </w:rPr>
            <w:drawing>
              <wp:inline distT="0" distB="0" distL="0" distR="0" wp14:anchorId="5C90FC10" wp14:editId="4122E966">
                <wp:extent cx="384048" cy="455737"/>
                <wp:effectExtent l="0" t="0" r="0" b="0"/>
                <wp:docPr id="1342976989" name="Picture 1342976989" descr="CHIATECH journal circuit-style C emblem" title="CHIATECH C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384048" cy="455737"/>
                        </a:xfrm>
                        <a:prstGeom prst="rect">
                          <a:avLst/>
                        </a:prstGeom>
                      </pic:spPr>
                    </pic:pic>
                  </a:graphicData>
                </a:graphic>
              </wp:inline>
            </w:drawing>
          </w:r>
        </w:p>
      </w:tc>
      <w:tc>
        <w:tcPr>
          <w:tcW w:w="7560" w:type="dxa"/>
          <w:tcBorders>
            <w:bottom w:val="single" w:sz="10" w:space="0" w:color="173BC4"/>
          </w:tcBorders>
          <w:tcMar>
            <w:top w:w="20" w:type="dxa"/>
            <w:left w:w="20" w:type="dxa"/>
            <w:bottom w:w="30" w:type="dxa"/>
            <w:right w:w="20" w:type="dxa"/>
          </w:tcMar>
          <w:vAlign w:val="center"/>
        </w:tcPr>
        <w:p w14:paraId="397E2688" w14:textId="77777777">
          <w:pPr>
            <w:spacing w:after="0"/>
            <w:jc w:val="center"/>
          </w:pPr>
          <w:r>
            <w:rPr>
              <w:rFonts w:eastAsia="Arial" w:cs="Arial"/>
              <w:b/>
              <w:color w:val="071A45"/>
            </w:rPr>
            <w:t>CHIATECH JOURNAL</w:t>
          </w:r>
        </w:p>
        <w:p w14:paraId="37990281" w14:textId="77777777">
          <w:pPr>
            <w:spacing w:after="0"/>
            <w:jc w:val="center"/>
          </w:pPr>
          <w:r>
            <w:rPr>
              <w:rFonts w:eastAsia="Arial" w:cs="Arial"/>
              <w:b/>
              <w:color w:val="1656B8"/>
              <w:sz w:val="11"/>
            </w:rPr>
            <w:t>SETEHEM · OPEN ACCESS · DOUBLE-BLIND PEER REVIEW</w:t>
          </w:r>
        </w:p>
        <w:p w14:paraId="0401D334" w14:textId="77777777">
          <w:pPr>
            <w:spacing w:after="0"/>
            <w:jc w:val="center"/>
          </w:pPr>
          <w:r>
            <w:rPr>
              <w:rFonts w:eastAsia="Arial" w:cs="Arial"/>
              <w:color w:val="5B6573"/>
              <w:sz w:val="11"/>
            </w:rPr>
            <w:t>Pioneer Publication · Volume 1 · Issue 1 · Article e001 · July 2026</w:t>
          </w:r>
        </w:p>
      </w:tc>
      <w:tc>
        <w:tcPr>
          <w:tcW w:w="1296" w:type="dxa"/>
          <w:tcBorders>
            <w:bottom w:val="single" w:sz="10" w:space="0" w:color="173BC4"/>
          </w:tcBorders>
          <w:tcMar>
            <w:top w:w="20" w:type="dxa"/>
            <w:left w:w="20" w:type="dxa"/>
            <w:bottom w:w="30" w:type="dxa"/>
            <w:right w:w="20" w:type="dxa"/>
          </w:tcMar>
          <w:vAlign w:val="center"/>
        </w:tcPr>
        <w:p w14:paraId="5510182E" w14:textId="77777777">
          <w:pPr>
            <w:jc w:val="right"/>
          </w:pPr>
          <w:r>
            <w:rPr>
              <w:noProof/>
            </w:rPr>
            <w:drawing>
              <wp:inline distT="0" distB="0" distL="0" distR="0" wp14:anchorId="7360C3FF" wp14:editId="624BF496">
                <wp:extent cx="502920" cy="502920"/>
                <wp:effectExtent l="0" t="0" r="0" b="0"/>
                <wp:docPr id="605631258" name="Picture 605631258" descr="CHIATECH Solutions and Resources corporate logo" title="CHIATECH corpor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a:stretch>
                          <a:fillRect/>
                        </a:stretch>
                      </pic:blipFill>
                      <pic:spPr>
                        <a:xfrm>
                          <a:off x="0" y="0"/>
                          <a:ext cx="502920" cy="50292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251534">
    <w:abstractNumId w:val="8"/>
  </w:num>
  <w:num w:numId="2" w16cid:durableId="1234971573">
    <w:abstractNumId w:val="6"/>
  </w:num>
  <w:num w:numId="3" w16cid:durableId="468132869">
    <w:abstractNumId w:val="5"/>
  </w:num>
  <w:num w:numId="4" w16cid:durableId="558858231">
    <w:abstractNumId w:val="4"/>
  </w:num>
  <w:num w:numId="5" w16cid:durableId="1229653471">
    <w:abstractNumId w:val="7"/>
  </w:num>
  <w:num w:numId="6" w16cid:durableId="1761678277">
    <w:abstractNumId w:val="3"/>
  </w:num>
  <w:num w:numId="7" w16cid:durableId="455949140">
    <w:abstractNumId w:val="2"/>
  </w:num>
  <w:num w:numId="8" w16cid:durableId="536158326">
    <w:abstractNumId w:val="1"/>
  </w:num>
  <w:num w:numId="9" w16cid:durableId="170416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03E"/>
    <w:rsid w:val="00034616"/>
    <w:rsid w:val="0006063C"/>
    <w:rsid w:val="0015074B"/>
    <w:rsid w:val="00163D9E"/>
    <w:rsid w:val="002215A0"/>
    <w:rsid w:val="0029639D"/>
    <w:rsid w:val="00326F90"/>
    <w:rsid w:val="003445A3"/>
    <w:rsid w:val="004272B3"/>
    <w:rsid w:val="004640B1"/>
    <w:rsid w:val="00586CAB"/>
    <w:rsid w:val="005F594E"/>
    <w:rsid w:val="006B37D2"/>
    <w:rsid w:val="00705EC3"/>
    <w:rsid w:val="00A6528F"/>
    <w:rsid w:val="00AA1D8D"/>
    <w:rsid w:val="00B16E7B"/>
    <w:rsid w:val="00B40703"/>
    <w:rsid w:val="00B47730"/>
    <w:rsid w:val="00BA6153"/>
    <w:rsid w:val="00CA0DAD"/>
    <w:rsid w:val="00CB0664"/>
    <w:rsid w:val="00D81DE2"/>
    <w:rsid w:val="00DE195D"/>
    <w:rsid w:val="00DE3D8F"/>
    <w:rsid w:val="00E02606"/>
    <w:rsid w:val="00EA2409"/>
    <w:rsid w:val="00ED037B"/>
    <w:rsid w:val="00ED2E74"/>
    <w:rsid w:val="00F22872"/>
    <w:rsid w:val="00FC693F"/>
    <w:rsid w:val="00FD4F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9F784"/>
  <w14:defaultImageDpi w14:val="300"/>
  <w15:docId w15:val="{9F626D5F-9FE0-401E-9DDD-63F0E694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line="240" w:lineRule="auto"/>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2606"/>
    <w:rPr>
      <w:color w:val="0000FF" w:themeColor="hyperlink"/>
      <w:u w:val="single"/>
    </w:rPr>
  </w:style>
  <w:style w:type="character" w:styleId="UnresolvedMention">
    <w:name w:val="Unresolved Mention"/>
    <w:basedOn w:val="DefaultParagraphFont"/>
    <w:uiPriority w:val="99"/>
    <w:semiHidden/>
    <w:unhideWhenUsed/>
    <w:rsid w:val="00E02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akenneth01@gmail.com" TargetMode="Externa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chiakenneth01@gmail.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lizabethtiti1972@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rev.ukulepeter@gmai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uliusbitrus12@gmail.com" TargetMode="Externa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5758</Words>
  <Characters>32821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Design, Simulation, Implementation, and Operational Evaluation of the CACGWA Student Revision and CBT Portal: A 500-Item-Bank Randomized Assessment Model for Senior Secondary School Examinations</vt:lpstr>
    </vt:vector>
  </TitlesOfParts>
  <Manager/>
  <Company/>
  <LinksUpToDate>false</LinksUpToDate>
  <CharactersWithSpaces>38502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Simulation, Implementation, and Operational Evaluation of the CACGWA Student Revision and CBT Portal: A 500-Item-Bank Randomized Assessment Model for Senior Secondary School Examinations</dc:title>
  <dc:subject>CHIATECH JOURNAL SETEHEM V1I1 e001</dc:subject>
  <dc:creator/>
  <cp:keywords>CHIATECH JOURNAL; SETEHEM; Pioneer Publication; Volume 1; Issue 1; e001</cp:keywords>
  <dc:description>ACCEPTED_PRODUCTION_APPROVED_PENDING_DOI_REGISTRATION; Chief Editor authorisation recorded 30 August 2026; DOI pending registration.</dc:description>
  <cp:lastModifiedBy/>
  <cp:revision>3</cp:revision>
  <dcterms:created xsi:type="dcterms:W3CDTF">2026-08-25T05:18:00Z</dcterms:created>
  <dcterms:modified xsi:type="dcterms:W3CDTF">2026-08-30T21:24:00Z</dcterms:modified>
  <cp:category/>
</cp:coreProperties>
</file>