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2CCD" w14:textId="77777777" w:rsidR="00BC6C0B" w:rsidRDefault="00000000">
      <w:pPr>
        <w:jc w:val="left"/>
      </w:pPr>
      <w:r>
        <w:rPr>
          <w:rFonts w:ascii="Arial" w:hAnsi="Arial"/>
          <w:b/>
          <w:color w:val="0A2F57"/>
          <w:sz w:val="36"/>
        </w:rPr>
        <w:t>CHIATECH JOURNAL</w:t>
      </w:r>
    </w:p>
    <w:p w14:paraId="0EFF8E8A" w14:textId="77777777" w:rsidR="00BC6C0B" w:rsidRDefault="00000000">
      <w:pPr>
        <w:pStyle w:val="Subtitle"/>
        <w:jc w:val="center"/>
      </w:pPr>
      <w:r>
        <w:t>SETEHEM · Volume 1, Issue 1 · Pioneer July/August 2026 · Part 2 · e031</w:t>
      </w:r>
    </w:p>
    <w:p w14:paraId="7D0C0458" w14:textId="77777777" w:rsidR="00BC6C0B" w:rsidRDefault="00000000">
      <w:pPr>
        <w:pStyle w:val="Subtitle"/>
        <w:jc w:val="center"/>
      </w:pPr>
      <w:r>
        <w:t>PIONEER PUBLICATION · ACCEPTED ARTICLE · TECHNICAL REVIEW &amp; PRACTICE FRAMEWORK ARTICLE · CYBERSECURITY · ETHICAL HACKING · AI SECURITY · PROFESSIONAL PRACTICE</w:t>
      </w:r>
    </w:p>
    <w:p w14:paraId="510F975C" w14:textId="77777777" w:rsidR="00BC6C0B" w:rsidRDefault="00000000">
      <w:pPr>
        <w:pStyle w:val="Title"/>
        <w:jc w:val="center"/>
      </w:pPr>
      <w:r>
        <w:t>Fundamental Tools for Ethical Hacking in the AI Era: Ethical Procedures, Current Standards, and a Defensible Technical Workflow for Authorized Cybersecurity Assessment</w:t>
      </w:r>
    </w:p>
    <w:p w14:paraId="5E2E73C5" w14:textId="77777777" w:rsidR="00BC6C0B" w:rsidRDefault="00000000">
      <w:pPr>
        <w:spacing w:after="0"/>
      </w:pPr>
      <w:r>
        <w:rPr>
          <w:rFonts w:ascii="Arial" w:hAnsi="Arial"/>
          <w:b/>
          <w:sz w:val="24"/>
        </w:rPr>
        <w:t>CHIA Shiaondo Kenneth</w:t>
      </w:r>
    </w:p>
    <w:p w14:paraId="371C341E" w14:textId="77777777" w:rsidR="00BC6C0B" w:rsidRDefault="00000000">
      <w:pPr>
        <w:spacing w:after="0"/>
      </w:pPr>
      <w:r>
        <w:rPr>
          <w:rFonts w:ascii="Arial" w:hAnsi="Arial"/>
          <w:i/>
          <w:color w:val="6B778C"/>
          <w:sz w:val="19"/>
        </w:rPr>
        <w:t>CHIATECH Solutions and Resources Ltd, Abuja, Nigeria</w:t>
      </w:r>
    </w:p>
    <w:p w14:paraId="50083DC9" w14:textId="77777777" w:rsidR="00BC6C0B" w:rsidRDefault="00000000">
      <w:pPr>
        <w:spacing w:after="100"/>
      </w:pPr>
      <w:r>
        <w:rPr>
          <w:rFonts w:ascii="Arial" w:hAnsi="Arial"/>
          <w:color w:val="6B778C"/>
          <w:sz w:val="18"/>
        </w:rPr>
        <w:t>ORCID: 0009-0009-6434-4586 · Correspondence: chiakenneth01@gmail.com</w:t>
      </w:r>
    </w:p>
    <w:tbl>
      <w:tblPr>
        <w:tblStyle w:val="TableGrid"/>
        <w:tblW w:w="0" w:type="auto"/>
        <w:jc w:val="center"/>
        <w:tblLook w:val="04A0" w:firstRow="1" w:lastRow="0" w:firstColumn="1" w:lastColumn="0" w:noHBand="0" w:noVBand="1"/>
      </w:tblPr>
      <w:tblGrid>
        <w:gridCol w:w="1080"/>
        <w:gridCol w:w="1301"/>
        <w:gridCol w:w="2808"/>
        <w:gridCol w:w="1944"/>
        <w:gridCol w:w="2088"/>
      </w:tblGrid>
      <w:tr w:rsidR="00BC6C0B" w14:paraId="1350E8BD" w14:textId="77777777">
        <w:trPr>
          <w:cantSplit/>
          <w:tblHeader/>
          <w:jc w:val="center"/>
        </w:trPr>
        <w:tc>
          <w:tcPr>
            <w:tcW w:w="1080" w:type="dxa"/>
            <w:shd w:val="clear" w:color="auto" w:fill="0C2A5B"/>
            <w:tcMar>
              <w:top w:w="70" w:type="dxa"/>
              <w:left w:w="70" w:type="dxa"/>
              <w:bottom w:w="70" w:type="dxa"/>
              <w:right w:w="70" w:type="dxa"/>
            </w:tcMar>
            <w:vAlign w:val="center"/>
          </w:tcPr>
          <w:p w14:paraId="67372E85" w14:textId="77777777" w:rsidR="00BC6C0B" w:rsidRDefault="00000000">
            <w:pPr>
              <w:spacing w:after="0"/>
            </w:pPr>
            <w:r>
              <w:rPr>
                <w:rFonts w:ascii="Arial" w:hAnsi="Arial"/>
                <w:b/>
                <w:color w:val="FFFFFF"/>
                <w:sz w:val="18"/>
              </w:rPr>
              <w:t>Article</w:t>
            </w:r>
          </w:p>
        </w:tc>
        <w:tc>
          <w:tcPr>
            <w:tcW w:w="1296" w:type="dxa"/>
            <w:shd w:val="clear" w:color="auto" w:fill="0C2A5B"/>
            <w:tcMar>
              <w:top w:w="70" w:type="dxa"/>
              <w:left w:w="70" w:type="dxa"/>
              <w:bottom w:w="70" w:type="dxa"/>
              <w:right w:w="70" w:type="dxa"/>
            </w:tcMar>
            <w:vAlign w:val="center"/>
          </w:tcPr>
          <w:p w14:paraId="4B0090BD" w14:textId="77777777" w:rsidR="00BC6C0B" w:rsidRDefault="00000000">
            <w:pPr>
              <w:spacing w:after="0"/>
            </w:pPr>
            <w:r>
              <w:rPr>
                <w:rFonts w:ascii="Arial" w:hAnsi="Arial"/>
                <w:b/>
                <w:color w:val="FFFFFF"/>
                <w:sz w:val="18"/>
              </w:rPr>
              <w:t>Volume/Issue</w:t>
            </w:r>
          </w:p>
        </w:tc>
        <w:tc>
          <w:tcPr>
            <w:tcW w:w="2808" w:type="dxa"/>
            <w:shd w:val="clear" w:color="auto" w:fill="0C2A5B"/>
            <w:tcMar>
              <w:top w:w="70" w:type="dxa"/>
              <w:left w:w="70" w:type="dxa"/>
              <w:bottom w:w="70" w:type="dxa"/>
              <w:right w:w="70" w:type="dxa"/>
            </w:tcMar>
            <w:vAlign w:val="center"/>
          </w:tcPr>
          <w:p w14:paraId="6FBD7621" w14:textId="77777777" w:rsidR="00BC6C0B" w:rsidRDefault="00000000">
            <w:pPr>
              <w:spacing w:after="0"/>
            </w:pPr>
            <w:r>
              <w:rPr>
                <w:rFonts w:ascii="Arial" w:hAnsi="Arial"/>
                <w:b/>
                <w:color w:val="FFFFFF"/>
                <w:sz w:val="18"/>
              </w:rPr>
              <w:t>Publication</w:t>
            </w:r>
          </w:p>
        </w:tc>
        <w:tc>
          <w:tcPr>
            <w:tcW w:w="1944" w:type="dxa"/>
            <w:shd w:val="clear" w:color="auto" w:fill="0C2A5B"/>
            <w:tcMar>
              <w:top w:w="70" w:type="dxa"/>
              <w:left w:w="70" w:type="dxa"/>
              <w:bottom w:w="70" w:type="dxa"/>
              <w:right w:w="70" w:type="dxa"/>
            </w:tcMar>
            <w:vAlign w:val="center"/>
          </w:tcPr>
          <w:p w14:paraId="5269B72A" w14:textId="77777777" w:rsidR="00BC6C0B" w:rsidRDefault="00000000">
            <w:pPr>
              <w:spacing w:after="0"/>
            </w:pPr>
            <w:r>
              <w:rPr>
                <w:rFonts w:ascii="Arial" w:hAnsi="Arial"/>
                <w:b/>
                <w:color w:val="FFFFFF"/>
                <w:sz w:val="18"/>
              </w:rPr>
              <w:t>ISSN</w:t>
            </w:r>
          </w:p>
        </w:tc>
        <w:tc>
          <w:tcPr>
            <w:tcW w:w="2088" w:type="dxa"/>
            <w:shd w:val="clear" w:color="auto" w:fill="0C2A5B"/>
            <w:tcMar>
              <w:top w:w="70" w:type="dxa"/>
              <w:left w:w="70" w:type="dxa"/>
              <w:bottom w:w="70" w:type="dxa"/>
              <w:right w:w="70" w:type="dxa"/>
            </w:tcMar>
            <w:vAlign w:val="center"/>
          </w:tcPr>
          <w:p w14:paraId="3CA4A4BE" w14:textId="77777777" w:rsidR="00BC6C0B" w:rsidRDefault="00000000">
            <w:pPr>
              <w:spacing w:after="0"/>
            </w:pPr>
            <w:r>
              <w:rPr>
                <w:rFonts w:ascii="Arial" w:hAnsi="Arial"/>
                <w:b/>
                <w:color w:val="FFFFFF"/>
                <w:sz w:val="18"/>
              </w:rPr>
              <w:t>DOI</w:t>
            </w:r>
          </w:p>
        </w:tc>
      </w:tr>
      <w:tr w:rsidR="00BC6C0B" w14:paraId="5C24E7B0" w14:textId="77777777">
        <w:trPr>
          <w:cantSplit/>
          <w:jc w:val="center"/>
        </w:trPr>
        <w:tc>
          <w:tcPr>
            <w:tcW w:w="1080" w:type="dxa"/>
            <w:tcMar>
              <w:top w:w="70" w:type="dxa"/>
              <w:left w:w="70" w:type="dxa"/>
              <w:bottom w:w="70" w:type="dxa"/>
              <w:right w:w="70" w:type="dxa"/>
            </w:tcMar>
            <w:vAlign w:val="center"/>
          </w:tcPr>
          <w:p w14:paraId="21FD5ABA" w14:textId="77777777" w:rsidR="00BC6C0B" w:rsidRDefault="00000000">
            <w:pPr>
              <w:spacing w:after="0"/>
              <w:jc w:val="left"/>
            </w:pPr>
            <w:r>
              <w:rPr>
                <w:rFonts w:ascii="Arial" w:hAnsi="Arial"/>
                <w:sz w:val="18"/>
              </w:rPr>
              <w:t>e031</w:t>
            </w:r>
          </w:p>
        </w:tc>
        <w:tc>
          <w:tcPr>
            <w:tcW w:w="1296" w:type="dxa"/>
            <w:tcMar>
              <w:top w:w="70" w:type="dxa"/>
              <w:left w:w="70" w:type="dxa"/>
              <w:bottom w:w="70" w:type="dxa"/>
              <w:right w:w="70" w:type="dxa"/>
            </w:tcMar>
            <w:vAlign w:val="center"/>
          </w:tcPr>
          <w:p w14:paraId="0F8E50AA" w14:textId="77777777" w:rsidR="00BC6C0B" w:rsidRDefault="00000000">
            <w:pPr>
              <w:spacing w:after="0"/>
              <w:jc w:val="left"/>
            </w:pPr>
            <w:r>
              <w:rPr>
                <w:rFonts w:ascii="Arial" w:hAnsi="Arial"/>
                <w:sz w:val="18"/>
              </w:rPr>
              <w:t>1(1)</w:t>
            </w:r>
          </w:p>
        </w:tc>
        <w:tc>
          <w:tcPr>
            <w:tcW w:w="2808" w:type="dxa"/>
            <w:tcMar>
              <w:top w:w="70" w:type="dxa"/>
              <w:left w:w="70" w:type="dxa"/>
              <w:bottom w:w="70" w:type="dxa"/>
              <w:right w:w="70" w:type="dxa"/>
            </w:tcMar>
            <w:vAlign w:val="center"/>
          </w:tcPr>
          <w:p w14:paraId="61B93AFC" w14:textId="77777777" w:rsidR="00BC6C0B" w:rsidRDefault="00000000">
            <w:pPr>
              <w:spacing w:after="0"/>
              <w:jc w:val="left"/>
            </w:pPr>
            <w:r>
              <w:rPr>
                <w:rFonts w:ascii="Arial" w:hAnsi="Arial"/>
                <w:sz w:val="18"/>
              </w:rPr>
              <w:t>Pioneer July/August · Part 2</w:t>
            </w:r>
          </w:p>
        </w:tc>
        <w:tc>
          <w:tcPr>
            <w:tcW w:w="1944" w:type="dxa"/>
            <w:tcMar>
              <w:top w:w="70" w:type="dxa"/>
              <w:left w:w="70" w:type="dxa"/>
              <w:bottom w:w="70" w:type="dxa"/>
              <w:right w:w="70" w:type="dxa"/>
            </w:tcMar>
            <w:vAlign w:val="center"/>
          </w:tcPr>
          <w:p w14:paraId="1A18BC5A" w14:textId="77777777" w:rsidR="00BC6C0B" w:rsidRDefault="00000000">
            <w:pPr>
              <w:spacing w:after="0"/>
              <w:jc w:val="left"/>
            </w:pPr>
            <w:r>
              <w:rPr>
                <w:rFonts w:ascii="Arial" w:hAnsi="Arial"/>
                <w:sz w:val="18"/>
              </w:rPr>
              <w:t>Pending assignment</w:t>
            </w:r>
          </w:p>
        </w:tc>
        <w:tc>
          <w:tcPr>
            <w:tcW w:w="2088" w:type="dxa"/>
            <w:tcMar>
              <w:top w:w="70" w:type="dxa"/>
              <w:left w:w="70" w:type="dxa"/>
              <w:bottom w:w="70" w:type="dxa"/>
              <w:right w:w="70" w:type="dxa"/>
            </w:tcMar>
            <w:vAlign w:val="center"/>
          </w:tcPr>
          <w:p w14:paraId="41FE8443" w14:textId="77777777" w:rsidR="00BC6C0B" w:rsidRDefault="00000000">
            <w:pPr>
              <w:spacing w:after="0"/>
              <w:jc w:val="left"/>
            </w:pPr>
            <w:r>
              <w:rPr>
                <w:rFonts w:ascii="Arial" w:hAnsi="Arial"/>
                <w:sz w:val="18"/>
              </w:rPr>
              <w:t>Pending registration</w:t>
            </w:r>
          </w:p>
        </w:tc>
      </w:tr>
    </w:tbl>
    <w:p w14:paraId="0ED9339E" w14:textId="77777777" w:rsidR="00BC6C0B" w:rsidRDefault="00BC6C0B">
      <w:pPr>
        <w:spacing w:after="0"/>
      </w:pPr>
    </w:p>
    <w:p w14:paraId="3D9DDE5C" w14:textId="77777777" w:rsidR="00BC6C0B" w:rsidRDefault="00000000">
      <w:pPr>
        <w:pStyle w:val="Heading1"/>
      </w:pPr>
      <w:r>
        <w:t>Abstract</w:t>
      </w:r>
    </w:p>
    <w:p w14:paraId="6C683E78" w14:textId="1C5C0EB2" w:rsidR="00BC6C0B" w:rsidRDefault="00000000">
      <w:r w:rsidRPr="00712B67">
        <w:rPr>
          <w:b/>
          <w:bCs/>
        </w:rPr>
        <w:t>Background:</w:t>
      </w:r>
      <w:r>
        <w:t xml:space="preserve"> Ethical hacking has moved from a tool-centric craft toward an evidence-driven security assurance discipline operating across cloud, identity, software supply chains, AI-enabled systems and continuously changing attack surfaces. Artificial intelligence now assists analysts with reconnaissance synthesis, code and configuration review, vulnerability correlation, log interpretation and report drafting, but it also introduces hallucination, prompt-injection, data-leakage, automation and accountability risks. </w:t>
      </w:r>
      <w:r w:rsidRPr="00712B67">
        <w:rPr>
          <w:b/>
          <w:bCs/>
        </w:rPr>
        <w:t>Objective:</w:t>
      </w:r>
      <w:r>
        <w:t xml:space="preserve"> This article defines a technically rigorous, legally bounded and standards-aligned foundation for ethical hacking in the AI era, with emphasis on current tools, procedures, evidence, prioritization and human control. </w:t>
      </w:r>
      <w:r w:rsidRPr="00712B67">
        <w:rPr>
          <w:b/>
          <w:bCs/>
        </w:rPr>
        <w:t>Methods:</w:t>
      </w:r>
      <w:r>
        <w:t xml:space="preserve"> A structured technical synthesis was conducted using authoritative standards and practice references current to </w:t>
      </w:r>
      <w:r w:rsidR="00712B67">
        <w:t>August</w:t>
      </w:r>
      <w:r>
        <w:t xml:space="preserve"> 2026, including NIST CSF 2.0, NIST SP 800-115, NIST SP 800-61 Rev. 3, NICE Framework Components 2.2.0, OWASP Top 10:2025, OWASP ASVS 5.0.0, OWASP WSTG 4.2, CIS Controls v8.1, MITRE ATT&amp;CK v19.2, ISO/IEC 27001/27002/27005, ISO/IEC 29147 and 30111, FIRST CVSS v4.0 and EPSS, CISA KEV, and NIST AI-security publications. Nigerian legal context is considered through the Cybercrimes (Prohibition, Prevention, etc.) (Amendment) Act 2024 and Nigeria Data Protection Act 2023. </w:t>
      </w:r>
      <w:r w:rsidRPr="0086220F">
        <w:rPr>
          <w:b/>
          <w:bCs/>
        </w:rPr>
        <w:t xml:space="preserve">Results: </w:t>
      </w:r>
      <w:r>
        <w:t xml:space="preserve">The paper proposes a seven-layer ethical-hacking toolchain, a gated assessment lifecycle, a standards crosswalk, an AI-assistance control plane and an evidence-based vulnerability prioritization method that combines technical severity, exploit likelihood, known exploitation, exposure, asset criticality and compensating controls. It distinguishes vulnerability assessment, penetration testing, adversary emulation and red teaming, and specifies mandatory rules of engagement, data handling, stop conditions, reporting and coordinated disclosure. </w:t>
      </w:r>
      <w:r w:rsidRPr="0086220F">
        <w:rPr>
          <w:b/>
          <w:bCs/>
        </w:rPr>
        <w:t>Conclusion:</w:t>
      </w:r>
      <w:r>
        <w:t xml:space="preserve"> In the AI era, ethical hacking competence is not measured by the number of exploits executed or tools installed. It is measured by authorized scope discipline, technical reproducibility, defensible evidence, safe validation, prioritized remediation, transparent use of AI and the ability to improve organizational security without creating new risk.</w:t>
      </w:r>
    </w:p>
    <w:p w14:paraId="763173A2" w14:textId="77777777" w:rsidR="00BC6C0B" w:rsidRDefault="00000000">
      <w:pPr>
        <w:spacing w:after="100"/>
      </w:pPr>
      <w:r>
        <w:rPr>
          <w:b/>
        </w:rPr>
        <w:t xml:space="preserve">Keywords: </w:t>
      </w:r>
      <w:r>
        <w:t>ethical hacking; penetration testing; AI security; NIST CSF 2.0; OWASP ASVS; MITRE ATT&amp;CK; vulnerability management; CVSS v4.0; EPSS; cybersecurity governance</w:t>
      </w:r>
    </w:p>
    <w:p w14:paraId="622DF95F" w14:textId="77777777" w:rsidR="00BC6C0B" w:rsidRDefault="00000000">
      <w:pPr>
        <w:pStyle w:val="Heading1"/>
      </w:pPr>
      <w:r>
        <w:t>1. Introduction</w:t>
      </w:r>
    </w:p>
    <w:p w14:paraId="18C4A488" w14:textId="77777777" w:rsidR="00BC6C0B" w:rsidRDefault="00000000">
      <w:r>
        <w:t>Ethical hacking is the authorized use of attacker-informed techniques to identify, validate and communicate security weaknesses so that risk can be reduced. The defining property is not the technique itself but the authorization, purpose, scope, evidence discipline and duty of care surrounding its use. A port scanner, web proxy, credential-audit tool, exploit framework or AI agent can support legitimate assurance in one context and unlawful intrusion in another. Professional practice therefore begins with governance rather than exploitation.</w:t>
      </w:r>
    </w:p>
    <w:p w14:paraId="4AE8A1EA" w14:textId="77777777" w:rsidR="00BC6C0B" w:rsidRDefault="00000000">
      <w:r>
        <w:t xml:space="preserve">The contemporary attack surface is broader than the traditional network perimeter. Identity providers, SaaS platforms, cloud control planes, APIs, CI/CD pipelines, container registries, infrastructure-as-code, third-party packages, mobile clients, operational technology, internet-facing appliances and AI systems all create trust boundaries that may fail in different ways. The OWASP Top 10:2025 reflects this widening perspective by elevating software supply-chain failures and security misconfiguration while retaining access-control, cryptographic, injection, authentication, integrity and logging risks. Meanwhile, MITRE ATT&amp;CK v19.2 provides a current </w:t>
      </w:r>
      <w:r>
        <w:lastRenderedPageBreak/>
        <w:t>adversary-behaviour knowledge base for Enterprise, Mobile and ICS, with the 2026 release line introducing important changes to tactics and detection-oriented structures (OWASP, 2025; MITRE, 2026).</w:t>
      </w:r>
    </w:p>
    <w:p w14:paraId="599863CD" w14:textId="77777777" w:rsidR="00BC6C0B" w:rsidRDefault="00000000">
      <w:r>
        <w:t>Artificial intelligence changes both sides of security assessment. Large language models can help analysts interpret tool output, generate test hypotheses, review code, correlate vulnerabilities with controls, summarize telemetry and draft reports. Research such as PentestGPT shows that LLMs can improve completion of selected penetration-testing subtasks, while also demonstrating weaknesses in long-horizon context management and end-to-end reliability (Deng et al., 2024). Consequently, AI should be treated as an accelerator inside a governed assessment process, not as an autonomous authority to decide scope, risk acceptance or intrusive actions.</w:t>
      </w:r>
    </w:p>
    <w:p w14:paraId="4639887D" w14:textId="77777777" w:rsidR="00BC6C0B" w:rsidRDefault="00000000">
      <w:r>
        <w:t>This paper replaces a primarily educational framing of e031 with a technical professional-practice framework. The article is intentionally detailed about tools, architecture, evidence and standards, but it does not present uncontrolled exploitation recipes. The objective is to support trained practitioners, educators, auditors and organizations that need a reproducible and defensible way to conduct authorized cybersecurity assessments in laboratories or explicitly approved environments.</w:t>
      </w:r>
    </w:p>
    <w:p w14:paraId="2835F529" w14:textId="77777777" w:rsidR="00BC6C0B" w:rsidRDefault="00000000">
      <w:pPr>
        <w:pStyle w:val="Heading1"/>
      </w:pPr>
      <w:r>
        <w:t>2. Scope, Terminology and Technical Method</w:t>
      </w:r>
    </w:p>
    <w:p w14:paraId="390ADFE4" w14:textId="77777777" w:rsidR="00BC6C0B" w:rsidRDefault="00000000">
      <w:r>
        <w:t>The terms vulnerability assessment, penetration test, adversary emulation and red team are related but not interchangeable. A vulnerability assessment emphasizes systematic discovery and prioritization of weaknesses. A penetration test adds controlled validation of exploitability and impact against an agreed scope. Adversary emulation tests whether controls detect and resist behaviours modeled on known threat techniques. A red-team exercise is broader and objective-driven, often testing people, process and technology against a realistic campaign under formal rules of engagement. Bug-bounty and vulnerability-disclosure programmes are separate authorization mechanisms whose scope is defined by the programme owner.</w:t>
      </w:r>
    </w:p>
    <w:p w14:paraId="713BF7EE" w14:textId="77777777" w:rsidR="00BC6C0B" w:rsidRDefault="00000000">
      <w:r>
        <w:t>The technical synthesis used three source classes. First, normative and quasi-normative standards were prioritized: NIST, ISO/IEC, FIRST and PCI SSC where relevant. Second, community security frameworks with strong industry adoption were included: OWASP, MITRE ATT&amp;CK and CIS Controls. Third, recent peer-reviewed or proceedings-based research was used to characterize AI-assisted penetration testing. Draft publications are explicitly labelled as drafts and are not treated as binding requirements. This distinction matters in 2026 because several AI-security and SSDF updates remain in development.</w:t>
      </w:r>
    </w:p>
    <w:p w14:paraId="24A357F4" w14:textId="77777777" w:rsidR="00BC6C0B" w:rsidRDefault="00000000">
      <w:r>
        <w:t>NIST SP 800-115 remains an authoritative guide to planning and conducting information-security testing even though it dates from 2008. Its age means it should not be used alone as a description of modern attack surfaces. In this paper it is paired with CSF 2.0 for governance outcomes, SP 800-61 Rev. 3 for incident-response integration, NICE 2.2.0 for workforce competencies, SSDF guidance for software-security practice and contemporary application/cloud/AI references. This layered use avoids the common error of equating “latest publication date” with “only relevant standard.”</w:t>
      </w:r>
    </w:p>
    <w:p w14:paraId="2971F419" w14:textId="77777777" w:rsidR="00BC6C0B" w:rsidRDefault="00000000">
      <w:pPr>
        <w:pStyle w:val="Heading1"/>
      </w:pPr>
      <w:r>
        <w:t>3. Ethical, Legal and Operational Procedure</w:t>
      </w:r>
    </w:p>
    <w:p w14:paraId="13AE2F5D" w14:textId="77777777" w:rsidR="00BC6C0B" w:rsidRDefault="00000000">
      <w:pPr>
        <w:pStyle w:val="Heading2"/>
      </w:pPr>
      <w:r>
        <w:t>3.1 Authorization is a technical control</w:t>
      </w:r>
    </w:p>
    <w:p w14:paraId="1C5BB2D1" w14:textId="77777777" w:rsidR="00BC6C0B" w:rsidRDefault="00000000">
      <w:r>
        <w:t>A professional assessment begins with written authorization that identifies the asset owner, testing provider, target identifiers, permitted techniques, excluded systems, time window, source addresses, communication channels, data-handling requirements and emergency contacts. Authorization should be sufficiently specific that an independent reviewer can determine whether an observed action was in scope. “Test our network” is not adequate rules-of-engagement language for an internet-connected organization with third-party services and shared infrastructure.</w:t>
      </w:r>
    </w:p>
    <w:p w14:paraId="04E7BFF7" w14:textId="77777777" w:rsidR="00BC6C0B" w:rsidRDefault="00000000">
      <w:r>
        <w:t>Scope must include dependency boundaries. Cloud tenants, managed-service providers, content-delivery networks, SaaS systems, payment processors, domain registrars and identity platforms may technically interact with the target while remaining legally controlled by third parties. The presence of a hostname in a customer application does not automatically authorize intrusive testing of the upstream service. Authorization should therefore distinguish owned assets, delegated assets, third-party assets explicitly approved for testing and prohibited dependencies.</w:t>
      </w:r>
    </w:p>
    <w:p w14:paraId="49BC1782" w14:textId="77777777" w:rsidR="00BC6C0B" w:rsidRDefault="00000000">
      <w:pPr>
        <w:pStyle w:val="Heading2"/>
      </w:pPr>
      <w:r>
        <w:t>3.2 Minimum rules-of-engagement fields</w:t>
      </w:r>
    </w:p>
    <w:p w14:paraId="4FDEB995" w14:textId="77777777" w:rsidR="00BC6C0B" w:rsidRDefault="00000000">
      <w:pPr>
        <w:pStyle w:val="ListBullet"/>
        <w:spacing w:after="40"/>
        <w:ind w:left="317" w:hanging="173"/>
      </w:pPr>
      <w:r>
        <w:t>Purpose and success criteria: the security question being answered, not merely a list of tools to run.</w:t>
      </w:r>
    </w:p>
    <w:p w14:paraId="2E825D6D" w14:textId="77777777" w:rsidR="00BC6C0B" w:rsidRDefault="00000000">
      <w:pPr>
        <w:pStyle w:val="ListBullet"/>
        <w:spacing w:after="40"/>
        <w:ind w:left="317" w:hanging="173"/>
      </w:pPr>
      <w:r>
        <w:t>Asset scope: IP ranges, domains, applications, APIs, cloud accounts, repositories, identities, mobile builds or lab systems, with ownership evidence.</w:t>
      </w:r>
    </w:p>
    <w:p w14:paraId="5A46DF56" w14:textId="77777777" w:rsidR="00BC6C0B" w:rsidRDefault="00000000">
      <w:pPr>
        <w:pStyle w:val="ListBullet"/>
        <w:spacing w:after="40"/>
        <w:ind w:left="317" w:hanging="173"/>
      </w:pPr>
      <w:r>
        <w:t>Permitted test classes: passive discovery, authenticated configuration review, vulnerability scanning, application testing, controlled exploitation, credential auditing, social engineering, wireless testing, physical testing or adversary emulation as separately authorized.</w:t>
      </w:r>
    </w:p>
    <w:p w14:paraId="6BF2BDAE" w14:textId="77777777" w:rsidR="00BC6C0B" w:rsidRDefault="00000000">
      <w:pPr>
        <w:pStyle w:val="ListBullet"/>
        <w:spacing w:after="40"/>
        <w:ind w:left="317" w:hanging="173"/>
      </w:pPr>
      <w:r>
        <w:lastRenderedPageBreak/>
        <w:t>Explicit prohibitions: destructive actions, denial-of-service, persistence, uncontrolled data exfiltration, modification of production records, testing of unrelated tenants, and collection of unnecessary personal data.</w:t>
      </w:r>
    </w:p>
    <w:p w14:paraId="5A63BB70" w14:textId="77777777" w:rsidR="00BC6C0B" w:rsidRDefault="00000000">
      <w:pPr>
        <w:pStyle w:val="ListBullet"/>
        <w:spacing w:after="40"/>
        <w:ind w:left="317" w:hanging="173"/>
      </w:pPr>
      <w:r>
        <w:t>Time and rate controls: approved windows, request-rate ceilings where required, maintenance windows and blackout periods.</w:t>
      </w:r>
    </w:p>
    <w:p w14:paraId="3F1AA203" w14:textId="77777777" w:rsidR="00BC6C0B" w:rsidRDefault="00000000">
      <w:pPr>
        <w:pStyle w:val="ListBullet"/>
        <w:spacing w:after="40"/>
        <w:ind w:left="317" w:hanging="173"/>
      </w:pPr>
      <w:r>
        <w:t>Stop conditions: service instability, unexpected sensitive data, loss of telemetry, scope ambiguity, third-party impact, or instructions from the designated incident or business owner.</w:t>
      </w:r>
    </w:p>
    <w:p w14:paraId="7BC61D43" w14:textId="77777777" w:rsidR="00BC6C0B" w:rsidRDefault="00000000">
      <w:pPr>
        <w:pStyle w:val="ListBullet"/>
        <w:spacing w:after="40"/>
        <w:ind w:left="317" w:hanging="173"/>
      </w:pPr>
      <w:r>
        <w:t>Evidence and privacy rules: approved storage, encryption, retention, redaction, access control, chain of custody and destruction schedule.</w:t>
      </w:r>
    </w:p>
    <w:p w14:paraId="7A5D7AD0" w14:textId="77777777" w:rsidR="00BC6C0B" w:rsidRDefault="00000000">
      <w:pPr>
        <w:pStyle w:val="ListBullet"/>
        <w:spacing w:after="40"/>
        <w:ind w:left="317" w:hanging="173"/>
      </w:pPr>
      <w:r>
        <w:t>Escalation and incident coordination: who is called, when a test artifact becomes a suspected real incident, and how blue-team visibility is handled.</w:t>
      </w:r>
    </w:p>
    <w:p w14:paraId="6F3D77EB" w14:textId="77777777" w:rsidR="00BC6C0B" w:rsidRDefault="00000000">
      <w:pPr>
        <w:pStyle w:val="ListBullet"/>
        <w:spacing w:after="40"/>
        <w:ind w:left="317" w:hanging="173"/>
      </w:pPr>
      <w:r>
        <w:t>Reporting and disclosure: severity method, remediation ownership, retest criteria, coordinated disclosure obligations and publication restrictions.</w:t>
      </w:r>
    </w:p>
    <w:p w14:paraId="242E640A" w14:textId="77777777" w:rsidR="00BC6C0B" w:rsidRDefault="00000000">
      <w:pPr>
        <w:pStyle w:val="Heading2"/>
      </w:pPr>
      <w:r>
        <w:t>3.3 Nigerian legal and privacy context</w:t>
      </w:r>
    </w:p>
    <w:p w14:paraId="22C09C3E" w14:textId="77777777" w:rsidR="00BC6C0B" w:rsidRDefault="00000000">
      <w:r>
        <w:t>For assessments conducted in Nigeria, practitioners should align organizational authorization with applicable national law and obtain legal review where scope is complex. The Cybercrimes (Prohibition, Prevention, etc.) (Amendment) Act 2024 is part of the current statutory environment governing cybercrime, while the Nigeria Data Protection Act 2023 regulates processing of personal data and establishes the Nigeria Data Protection Commission. Ethical testing should therefore apply data-minimization principles: collect only evidence needed to prove the finding, avoid copying production datasets when a metadata-level proof is sufficient, protect credentials and personal records, and define retention and deletion before testing begins. This paper is technical guidance, not legal advice.</w:t>
      </w:r>
    </w:p>
    <w:p w14:paraId="5236AA5F" w14:textId="77777777" w:rsidR="00BC6C0B" w:rsidRDefault="00000000">
      <w:r>
        <w:t>Coordinated vulnerability disclosure should be planned before assessment closeout. ISO/IEC 29147:2018 remains current after review in 2024 and provides guidance for vulnerability disclosure; ISO/IEC 30111:2019 remains current after review in 2025 and addresses vulnerability handling and remediation. These standards are especially relevant where a finding affects a vendor product, shared component or third-party service rather than only the commissioning organization.</w:t>
      </w:r>
    </w:p>
    <w:p w14:paraId="1632F307" w14:textId="77777777" w:rsidR="00BC6C0B" w:rsidRDefault="00000000">
      <w:pPr>
        <w:pStyle w:val="Heading1"/>
      </w:pPr>
      <w:r>
        <w:t>4. Current Standards and Framework Stack for Ethical Hacking (2026)</w:t>
      </w:r>
    </w:p>
    <w:p w14:paraId="3BA21854" w14:textId="77777777" w:rsidR="00BC6C0B" w:rsidRDefault="00000000">
      <w:r>
        <w:t>No single framework covers the entire ethical-hacking lifecycle. The defensible approach is a standards stack in which governance, testing, application verification, adversary behaviour, vulnerability prioritization, incident response, disclosure and AI risk are mapped to their most suitable references. Table 1 summarizes the baseline used in this paper.</w:t>
      </w:r>
    </w:p>
    <w:p w14:paraId="548C1E9D" w14:textId="77777777" w:rsidR="00BC6C0B" w:rsidRDefault="00000000">
      <w:pPr>
        <w:pStyle w:val="Caption"/>
        <w:spacing w:before="40" w:after="100"/>
      </w:pPr>
      <w:r>
        <w:rPr>
          <w:color w:val="687386"/>
          <w:sz w:val="17"/>
        </w:rPr>
        <w:t>Table 1. Current standards and frameworks relevant to authorized cybersecurity assessment, status checked for September 2026.</w:t>
      </w:r>
    </w:p>
    <w:tbl>
      <w:tblPr>
        <w:tblStyle w:val="TableGrid"/>
        <w:tblW w:w="0" w:type="auto"/>
        <w:jc w:val="center"/>
        <w:tblLook w:val="04A0" w:firstRow="1" w:lastRow="0" w:firstColumn="1" w:lastColumn="0" w:noHBand="0" w:noVBand="1"/>
      </w:tblPr>
      <w:tblGrid>
        <w:gridCol w:w="1800"/>
        <w:gridCol w:w="1584"/>
        <w:gridCol w:w="3240"/>
        <w:gridCol w:w="3240"/>
      </w:tblGrid>
      <w:tr w:rsidR="00BC6C0B" w14:paraId="55AC2B6A" w14:textId="77777777">
        <w:trPr>
          <w:cantSplit/>
          <w:tblHeader/>
          <w:jc w:val="center"/>
        </w:trPr>
        <w:tc>
          <w:tcPr>
            <w:tcW w:w="1800" w:type="dxa"/>
            <w:shd w:val="clear" w:color="auto" w:fill="0C2A5B"/>
            <w:tcMar>
              <w:top w:w="70" w:type="dxa"/>
              <w:left w:w="70" w:type="dxa"/>
              <w:bottom w:w="70" w:type="dxa"/>
              <w:right w:w="70" w:type="dxa"/>
            </w:tcMar>
            <w:vAlign w:val="center"/>
          </w:tcPr>
          <w:p w14:paraId="1E7F4D8C" w14:textId="77777777" w:rsidR="00BC6C0B" w:rsidRDefault="00000000">
            <w:pPr>
              <w:spacing w:after="0"/>
            </w:pPr>
            <w:r>
              <w:rPr>
                <w:rFonts w:ascii="Arial" w:hAnsi="Arial"/>
                <w:b/>
                <w:color w:val="FFFFFF"/>
                <w:sz w:val="14"/>
              </w:rPr>
              <w:t>Reference</w:t>
            </w:r>
          </w:p>
        </w:tc>
        <w:tc>
          <w:tcPr>
            <w:tcW w:w="1584" w:type="dxa"/>
            <w:shd w:val="clear" w:color="auto" w:fill="0C2A5B"/>
            <w:tcMar>
              <w:top w:w="70" w:type="dxa"/>
              <w:left w:w="70" w:type="dxa"/>
              <w:bottom w:w="70" w:type="dxa"/>
              <w:right w:w="70" w:type="dxa"/>
            </w:tcMar>
            <w:vAlign w:val="center"/>
          </w:tcPr>
          <w:p w14:paraId="14CEA58A" w14:textId="77777777" w:rsidR="00BC6C0B" w:rsidRDefault="00000000">
            <w:pPr>
              <w:spacing w:after="0"/>
            </w:pPr>
            <w:r>
              <w:rPr>
                <w:rFonts w:ascii="Arial" w:hAnsi="Arial"/>
                <w:b/>
                <w:color w:val="FFFFFF"/>
                <w:sz w:val="14"/>
              </w:rPr>
              <w:t>Status</w:t>
            </w:r>
          </w:p>
        </w:tc>
        <w:tc>
          <w:tcPr>
            <w:tcW w:w="3240" w:type="dxa"/>
            <w:shd w:val="clear" w:color="auto" w:fill="0C2A5B"/>
            <w:tcMar>
              <w:top w:w="70" w:type="dxa"/>
              <w:left w:w="70" w:type="dxa"/>
              <w:bottom w:w="70" w:type="dxa"/>
              <w:right w:w="70" w:type="dxa"/>
            </w:tcMar>
            <w:vAlign w:val="center"/>
          </w:tcPr>
          <w:p w14:paraId="56B16304" w14:textId="77777777" w:rsidR="00BC6C0B" w:rsidRDefault="00000000">
            <w:pPr>
              <w:spacing w:after="0"/>
            </w:pPr>
            <w:r>
              <w:rPr>
                <w:rFonts w:ascii="Arial" w:hAnsi="Arial"/>
                <w:b/>
                <w:color w:val="FFFFFF"/>
                <w:sz w:val="14"/>
              </w:rPr>
              <w:t>Primary role</w:t>
            </w:r>
          </w:p>
        </w:tc>
        <w:tc>
          <w:tcPr>
            <w:tcW w:w="3240" w:type="dxa"/>
            <w:shd w:val="clear" w:color="auto" w:fill="0C2A5B"/>
            <w:tcMar>
              <w:top w:w="70" w:type="dxa"/>
              <w:left w:w="70" w:type="dxa"/>
              <w:bottom w:w="70" w:type="dxa"/>
              <w:right w:w="70" w:type="dxa"/>
            </w:tcMar>
            <w:vAlign w:val="center"/>
          </w:tcPr>
          <w:p w14:paraId="6E308005" w14:textId="77777777" w:rsidR="00BC6C0B" w:rsidRDefault="00000000">
            <w:pPr>
              <w:spacing w:after="0"/>
            </w:pPr>
            <w:r>
              <w:rPr>
                <w:rFonts w:ascii="Arial" w:hAnsi="Arial"/>
                <w:b/>
                <w:color w:val="FFFFFF"/>
                <w:sz w:val="14"/>
              </w:rPr>
              <w:t>Use in ethical hacking</w:t>
            </w:r>
          </w:p>
        </w:tc>
      </w:tr>
      <w:tr w:rsidR="00BC6C0B" w14:paraId="2F63065D" w14:textId="77777777">
        <w:trPr>
          <w:cantSplit/>
          <w:jc w:val="center"/>
        </w:trPr>
        <w:tc>
          <w:tcPr>
            <w:tcW w:w="1800" w:type="dxa"/>
            <w:tcMar>
              <w:top w:w="70" w:type="dxa"/>
              <w:left w:w="70" w:type="dxa"/>
              <w:bottom w:w="70" w:type="dxa"/>
              <w:right w:w="70" w:type="dxa"/>
            </w:tcMar>
            <w:vAlign w:val="center"/>
          </w:tcPr>
          <w:p w14:paraId="490A550D" w14:textId="77777777" w:rsidR="00BC6C0B" w:rsidRDefault="00000000">
            <w:pPr>
              <w:spacing w:after="0"/>
              <w:jc w:val="left"/>
            </w:pPr>
            <w:r>
              <w:rPr>
                <w:rFonts w:ascii="Arial" w:hAnsi="Arial"/>
                <w:sz w:val="14"/>
              </w:rPr>
              <w:t>NIST CSF 2.0</w:t>
            </w:r>
          </w:p>
        </w:tc>
        <w:tc>
          <w:tcPr>
            <w:tcW w:w="1584" w:type="dxa"/>
            <w:tcMar>
              <w:top w:w="70" w:type="dxa"/>
              <w:left w:w="70" w:type="dxa"/>
              <w:bottom w:w="70" w:type="dxa"/>
              <w:right w:w="70" w:type="dxa"/>
            </w:tcMar>
            <w:vAlign w:val="center"/>
          </w:tcPr>
          <w:p w14:paraId="2C6DC1DE" w14:textId="77777777" w:rsidR="00BC6C0B" w:rsidRDefault="00000000">
            <w:pPr>
              <w:spacing w:after="0"/>
              <w:jc w:val="left"/>
            </w:pPr>
            <w:r>
              <w:rPr>
                <w:rFonts w:ascii="Arial" w:hAnsi="Arial"/>
                <w:sz w:val="14"/>
              </w:rPr>
              <w:t>Final, 2024</w:t>
            </w:r>
          </w:p>
        </w:tc>
        <w:tc>
          <w:tcPr>
            <w:tcW w:w="3240" w:type="dxa"/>
            <w:tcMar>
              <w:top w:w="70" w:type="dxa"/>
              <w:left w:w="70" w:type="dxa"/>
              <w:bottom w:w="70" w:type="dxa"/>
              <w:right w:w="70" w:type="dxa"/>
            </w:tcMar>
            <w:vAlign w:val="center"/>
          </w:tcPr>
          <w:p w14:paraId="09B33BF1" w14:textId="77777777" w:rsidR="00BC6C0B" w:rsidRDefault="00000000">
            <w:pPr>
              <w:spacing w:after="0"/>
              <w:jc w:val="left"/>
            </w:pPr>
            <w:r>
              <w:rPr>
                <w:rFonts w:ascii="Arial" w:hAnsi="Arial"/>
                <w:sz w:val="14"/>
              </w:rPr>
              <w:t>Govern, Identify, Protect, Detect, Respond, Recover; organizational cybersecurity outcomes and risk communication.</w:t>
            </w:r>
          </w:p>
        </w:tc>
        <w:tc>
          <w:tcPr>
            <w:tcW w:w="3240" w:type="dxa"/>
            <w:tcMar>
              <w:top w:w="70" w:type="dxa"/>
              <w:left w:w="70" w:type="dxa"/>
              <w:bottom w:w="70" w:type="dxa"/>
              <w:right w:w="70" w:type="dxa"/>
            </w:tcMar>
            <w:vAlign w:val="center"/>
          </w:tcPr>
          <w:p w14:paraId="3C0F3B4E" w14:textId="77777777" w:rsidR="00BC6C0B" w:rsidRDefault="00000000">
            <w:pPr>
              <w:spacing w:after="0"/>
              <w:jc w:val="left"/>
            </w:pPr>
            <w:r>
              <w:rPr>
                <w:rFonts w:ascii="Arial" w:hAnsi="Arial"/>
                <w:sz w:val="14"/>
              </w:rPr>
              <w:t>Use as the top-level outcome model for why tests are performed and how findings map to risk.</w:t>
            </w:r>
          </w:p>
        </w:tc>
      </w:tr>
      <w:tr w:rsidR="00BC6C0B" w14:paraId="7ADDAF32" w14:textId="77777777">
        <w:trPr>
          <w:cantSplit/>
          <w:jc w:val="center"/>
        </w:trPr>
        <w:tc>
          <w:tcPr>
            <w:tcW w:w="1800" w:type="dxa"/>
            <w:shd w:val="clear" w:color="auto" w:fill="F4F7FB"/>
            <w:tcMar>
              <w:top w:w="70" w:type="dxa"/>
              <w:left w:w="70" w:type="dxa"/>
              <w:bottom w:w="70" w:type="dxa"/>
              <w:right w:w="70" w:type="dxa"/>
            </w:tcMar>
            <w:vAlign w:val="center"/>
          </w:tcPr>
          <w:p w14:paraId="04F7EE43" w14:textId="77777777" w:rsidR="00BC6C0B" w:rsidRDefault="00000000">
            <w:pPr>
              <w:spacing w:after="0"/>
              <w:jc w:val="left"/>
            </w:pPr>
            <w:r>
              <w:rPr>
                <w:rFonts w:ascii="Arial" w:hAnsi="Arial"/>
                <w:sz w:val="14"/>
              </w:rPr>
              <w:t>NIST SP 800-115</w:t>
            </w:r>
          </w:p>
        </w:tc>
        <w:tc>
          <w:tcPr>
            <w:tcW w:w="1584" w:type="dxa"/>
            <w:shd w:val="clear" w:color="auto" w:fill="F4F7FB"/>
            <w:tcMar>
              <w:top w:w="70" w:type="dxa"/>
              <w:left w:w="70" w:type="dxa"/>
              <w:bottom w:w="70" w:type="dxa"/>
              <w:right w:w="70" w:type="dxa"/>
            </w:tcMar>
            <w:vAlign w:val="center"/>
          </w:tcPr>
          <w:p w14:paraId="367C36F7" w14:textId="77777777" w:rsidR="00BC6C0B" w:rsidRDefault="00000000">
            <w:pPr>
              <w:spacing w:after="0"/>
              <w:jc w:val="left"/>
            </w:pPr>
            <w:r>
              <w:rPr>
                <w:rFonts w:ascii="Arial" w:hAnsi="Arial"/>
                <w:sz w:val="14"/>
              </w:rPr>
              <w:t>Final, 2008</w:t>
            </w:r>
          </w:p>
        </w:tc>
        <w:tc>
          <w:tcPr>
            <w:tcW w:w="3240" w:type="dxa"/>
            <w:shd w:val="clear" w:color="auto" w:fill="F4F7FB"/>
            <w:tcMar>
              <w:top w:w="70" w:type="dxa"/>
              <w:left w:w="70" w:type="dxa"/>
              <w:bottom w:w="70" w:type="dxa"/>
              <w:right w:w="70" w:type="dxa"/>
            </w:tcMar>
            <w:vAlign w:val="center"/>
          </w:tcPr>
          <w:p w14:paraId="5655652A" w14:textId="77777777" w:rsidR="00BC6C0B" w:rsidRDefault="00000000">
            <w:pPr>
              <w:spacing w:after="0"/>
              <w:jc w:val="left"/>
            </w:pPr>
            <w:r>
              <w:rPr>
                <w:rFonts w:ascii="Arial" w:hAnsi="Arial"/>
                <w:sz w:val="14"/>
              </w:rPr>
              <w:t>Technical security testing and assessment planning, execution, analysis and mitigation.</w:t>
            </w:r>
          </w:p>
        </w:tc>
        <w:tc>
          <w:tcPr>
            <w:tcW w:w="3240" w:type="dxa"/>
            <w:shd w:val="clear" w:color="auto" w:fill="F4F7FB"/>
            <w:tcMar>
              <w:top w:w="70" w:type="dxa"/>
              <w:left w:w="70" w:type="dxa"/>
              <w:bottom w:w="70" w:type="dxa"/>
              <w:right w:w="70" w:type="dxa"/>
            </w:tcMar>
            <w:vAlign w:val="center"/>
          </w:tcPr>
          <w:p w14:paraId="2516E862" w14:textId="77777777" w:rsidR="00BC6C0B" w:rsidRDefault="00000000">
            <w:pPr>
              <w:spacing w:after="0"/>
              <w:jc w:val="left"/>
            </w:pPr>
            <w:r>
              <w:rPr>
                <w:rFonts w:ascii="Arial" w:hAnsi="Arial"/>
                <w:sz w:val="14"/>
              </w:rPr>
              <w:t>Still authoritative, but complement with modern cloud/application/AI sources.</w:t>
            </w:r>
          </w:p>
        </w:tc>
      </w:tr>
      <w:tr w:rsidR="00BC6C0B" w14:paraId="5312B694" w14:textId="77777777">
        <w:trPr>
          <w:cantSplit/>
          <w:jc w:val="center"/>
        </w:trPr>
        <w:tc>
          <w:tcPr>
            <w:tcW w:w="1800" w:type="dxa"/>
            <w:tcMar>
              <w:top w:w="70" w:type="dxa"/>
              <w:left w:w="70" w:type="dxa"/>
              <w:bottom w:w="70" w:type="dxa"/>
              <w:right w:w="70" w:type="dxa"/>
            </w:tcMar>
            <w:vAlign w:val="center"/>
          </w:tcPr>
          <w:p w14:paraId="259708D4" w14:textId="77777777" w:rsidR="00BC6C0B" w:rsidRDefault="00000000">
            <w:pPr>
              <w:spacing w:after="0"/>
              <w:jc w:val="left"/>
            </w:pPr>
            <w:r>
              <w:rPr>
                <w:rFonts w:ascii="Arial" w:hAnsi="Arial"/>
                <w:sz w:val="14"/>
              </w:rPr>
              <w:t>NIST SP 800-61 Rev. 3</w:t>
            </w:r>
          </w:p>
        </w:tc>
        <w:tc>
          <w:tcPr>
            <w:tcW w:w="1584" w:type="dxa"/>
            <w:tcMar>
              <w:top w:w="70" w:type="dxa"/>
              <w:left w:w="70" w:type="dxa"/>
              <w:bottom w:w="70" w:type="dxa"/>
              <w:right w:w="70" w:type="dxa"/>
            </w:tcMar>
            <w:vAlign w:val="center"/>
          </w:tcPr>
          <w:p w14:paraId="2E3A63A4" w14:textId="77777777" w:rsidR="00BC6C0B" w:rsidRDefault="00000000">
            <w:pPr>
              <w:spacing w:after="0"/>
              <w:jc w:val="left"/>
            </w:pPr>
            <w:r>
              <w:rPr>
                <w:rFonts w:ascii="Arial" w:hAnsi="Arial"/>
                <w:sz w:val="14"/>
              </w:rPr>
              <w:t>Final, Apr. 2025</w:t>
            </w:r>
          </w:p>
        </w:tc>
        <w:tc>
          <w:tcPr>
            <w:tcW w:w="3240" w:type="dxa"/>
            <w:tcMar>
              <w:top w:w="70" w:type="dxa"/>
              <w:left w:w="70" w:type="dxa"/>
              <w:bottom w:w="70" w:type="dxa"/>
              <w:right w:w="70" w:type="dxa"/>
            </w:tcMar>
            <w:vAlign w:val="center"/>
          </w:tcPr>
          <w:p w14:paraId="110D4E04" w14:textId="77777777" w:rsidR="00BC6C0B" w:rsidRDefault="00000000">
            <w:pPr>
              <w:spacing w:after="0"/>
              <w:jc w:val="left"/>
            </w:pPr>
            <w:r>
              <w:rPr>
                <w:rFonts w:ascii="Arial" w:hAnsi="Arial"/>
                <w:sz w:val="14"/>
              </w:rPr>
              <w:t>Incident response integrated with CSF 2.0 risk management.</w:t>
            </w:r>
          </w:p>
        </w:tc>
        <w:tc>
          <w:tcPr>
            <w:tcW w:w="3240" w:type="dxa"/>
            <w:tcMar>
              <w:top w:w="70" w:type="dxa"/>
              <w:left w:w="70" w:type="dxa"/>
              <w:bottom w:w="70" w:type="dxa"/>
              <w:right w:w="70" w:type="dxa"/>
            </w:tcMar>
            <w:vAlign w:val="center"/>
          </w:tcPr>
          <w:p w14:paraId="4676B536" w14:textId="77777777" w:rsidR="00BC6C0B" w:rsidRDefault="00000000">
            <w:pPr>
              <w:spacing w:after="0"/>
              <w:jc w:val="left"/>
            </w:pPr>
            <w:r>
              <w:rPr>
                <w:rFonts w:ascii="Arial" w:hAnsi="Arial"/>
                <w:sz w:val="14"/>
              </w:rPr>
              <w:t>Use to connect testing evidence to detection, response and recovery.</w:t>
            </w:r>
          </w:p>
        </w:tc>
      </w:tr>
      <w:tr w:rsidR="00BC6C0B" w14:paraId="0F3A570D" w14:textId="77777777">
        <w:trPr>
          <w:cantSplit/>
          <w:jc w:val="center"/>
        </w:trPr>
        <w:tc>
          <w:tcPr>
            <w:tcW w:w="1800" w:type="dxa"/>
            <w:shd w:val="clear" w:color="auto" w:fill="F4F7FB"/>
            <w:tcMar>
              <w:top w:w="70" w:type="dxa"/>
              <w:left w:w="70" w:type="dxa"/>
              <w:bottom w:w="70" w:type="dxa"/>
              <w:right w:w="70" w:type="dxa"/>
            </w:tcMar>
            <w:vAlign w:val="center"/>
          </w:tcPr>
          <w:p w14:paraId="0FF31D11" w14:textId="77777777" w:rsidR="00BC6C0B" w:rsidRDefault="00000000">
            <w:pPr>
              <w:spacing w:after="0"/>
              <w:jc w:val="left"/>
            </w:pPr>
            <w:r>
              <w:rPr>
                <w:rFonts w:ascii="Arial" w:hAnsi="Arial"/>
                <w:sz w:val="14"/>
              </w:rPr>
              <w:t>NICE Framework Components 2.2.0</w:t>
            </w:r>
          </w:p>
        </w:tc>
        <w:tc>
          <w:tcPr>
            <w:tcW w:w="1584" w:type="dxa"/>
            <w:shd w:val="clear" w:color="auto" w:fill="F4F7FB"/>
            <w:tcMar>
              <w:top w:w="70" w:type="dxa"/>
              <w:left w:w="70" w:type="dxa"/>
              <w:bottom w:w="70" w:type="dxa"/>
              <w:right w:w="70" w:type="dxa"/>
            </w:tcMar>
            <w:vAlign w:val="center"/>
          </w:tcPr>
          <w:p w14:paraId="7CAECBB8" w14:textId="77777777" w:rsidR="00BC6C0B" w:rsidRDefault="00000000">
            <w:pPr>
              <w:spacing w:after="0"/>
              <w:jc w:val="left"/>
            </w:pPr>
            <w:r>
              <w:rPr>
                <w:rFonts w:ascii="Arial" w:hAnsi="Arial"/>
                <w:sz w:val="14"/>
              </w:rPr>
              <w:t>Current, Apr. 2026</w:t>
            </w:r>
          </w:p>
        </w:tc>
        <w:tc>
          <w:tcPr>
            <w:tcW w:w="3240" w:type="dxa"/>
            <w:shd w:val="clear" w:color="auto" w:fill="F4F7FB"/>
            <w:tcMar>
              <w:top w:w="70" w:type="dxa"/>
              <w:left w:w="70" w:type="dxa"/>
              <w:bottom w:w="70" w:type="dxa"/>
              <w:right w:w="70" w:type="dxa"/>
            </w:tcMar>
            <w:vAlign w:val="center"/>
          </w:tcPr>
          <w:p w14:paraId="58CA5B09" w14:textId="77777777" w:rsidR="00BC6C0B" w:rsidRDefault="00000000">
            <w:pPr>
              <w:spacing w:after="0"/>
              <w:jc w:val="left"/>
            </w:pPr>
            <w:r>
              <w:rPr>
                <w:rFonts w:ascii="Arial" w:hAnsi="Arial"/>
                <w:sz w:val="14"/>
              </w:rPr>
              <w:t>Work roles, competency areas, task/knowledge/skill statements.</w:t>
            </w:r>
          </w:p>
        </w:tc>
        <w:tc>
          <w:tcPr>
            <w:tcW w:w="3240" w:type="dxa"/>
            <w:shd w:val="clear" w:color="auto" w:fill="F4F7FB"/>
            <w:tcMar>
              <w:top w:w="70" w:type="dxa"/>
              <w:left w:w="70" w:type="dxa"/>
              <w:bottom w:w="70" w:type="dxa"/>
              <w:right w:w="70" w:type="dxa"/>
            </w:tcMar>
            <w:vAlign w:val="center"/>
          </w:tcPr>
          <w:p w14:paraId="66135896" w14:textId="77777777" w:rsidR="00BC6C0B" w:rsidRDefault="00000000">
            <w:pPr>
              <w:spacing w:after="0"/>
              <w:jc w:val="left"/>
            </w:pPr>
            <w:r>
              <w:rPr>
                <w:rFonts w:ascii="Arial" w:hAnsi="Arial"/>
                <w:sz w:val="14"/>
              </w:rPr>
              <w:t>Useful for assessor competency and team composition; adds supply-chain role updates and revised competency areas.</w:t>
            </w:r>
          </w:p>
        </w:tc>
      </w:tr>
      <w:tr w:rsidR="00BC6C0B" w14:paraId="2E486B78" w14:textId="77777777">
        <w:trPr>
          <w:cantSplit/>
          <w:jc w:val="center"/>
        </w:trPr>
        <w:tc>
          <w:tcPr>
            <w:tcW w:w="1800" w:type="dxa"/>
            <w:tcMar>
              <w:top w:w="70" w:type="dxa"/>
              <w:left w:w="70" w:type="dxa"/>
              <w:bottom w:w="70" w:type="dxa"/>
              <w:right w:w="70" w:type="dxa"/>
            </w:tcMar>
            <w:vAlign w:val="center"/>
          </w:tcPr>
          <w:p w14:paraId="4C2A380F" w14:textId="77777777" w:rsidR="00BC6C0B" w:rsidRDefault="00000000">
            <w:pPr>
              <w:spacing w:after="0"/>
              <w:jc w:val="left"/>
            </w:pPr>
            <w:r>
              <w:rPr>
                <w:rFonts w:ascii="Arial" w:hAnsi="Arial"/>
                <w:sz w:val="14"/>
              </w:rPr>
              <w:t>OWASP Top 10:2025</w:t>
            </w:r>
          </w:p>
        </w:tc>
        <w:tc>
          <w:tcPr>
            <w:tcW w:w="1584" w:type="dxa"/>
            <w:tcMar>
              <w:top w:w="70" w:type="dxa"/>
              <w:left w:w="70" w:type="dxa"/>
              <w:bottom w:w="70" w:type="dxa"/>
              <w:right w:w="70" w:type="dxa"/>
            </w:tcMar>
            <w:vAlign w:val="center"/>
          </w:tcPr>
          <w:p w14:paraId="0AB562FB" w14:textId="77777777" w:rsidR="00BC6C0B" w:rsidRDefault="00000000">
            <w:pPr>
              <w:spacing w:after="0"/>
              <w:jc w:val="left"/>
            </w:pPr>
            <w:r>
              <w:rPr>
                <w:rFonts w:ascii="Arial" w:hAnsi="Arial"/>
                <w:sz w:val="14"/>
              </w:rPr>
              <w:t>Current release</w:t>
            </w:r>
          </w:p>
        </w:tc>
        <w:tc>
          <w:tcPr>
            <w:tcW w:w="3240" w:type="dxa"/>
            <w:tcMar>
              <w:top w:w="70" w:type="dxa"/>
              <w:left w:w="70" w:type="dxa"/>
              <w:bottom w:w="70" w:type="dxa"/>
              <w:right w:w="70" w:type="dxa"/>
            </w:tcMar>
            <w:vAlign w:val="center"/>
          </w:tcPr>
          <w:p w14:paraId="6BA2EE41" w14:textId="77777777" w:rsidR="00BC6C0B" w:rsidRDefault="00000000">
            <w:pPr>
              <w:spacing w:after="0"/>
              <w:jc w:val="left"/>
            </w:pPr>
            <w:r>
              <w:rPr>
                <w:rFonts w:ascii="Arial" w:hAnsi="Arial"/>
                <w:sz w:val="14"/>
              </w:rPr>
              <w:t>Awareness of major web-application risk categories.</w:t>
            </w:r>
          </w:p>
        </w:tc>
        <w:tc>
          <w:tcPr>
            <w:tcW w:w="3240" w:type="dxa"/>
            <w:tcMar>
              <w:top w:w="70" w:type="dxa"/>
              <w:left w:w="70" w:type="dxa"/>
              <w:bottom w:w="70" w:type="dxa"/>
              <w:right w:w="70" w:type="dxa"/>
            </w:tcMar>
            <w:vAlign w:val="center"/>
          </w:tcPr>
          <w:p w14:paraId="649B20DB" w14:textId="77777777" w:rsidR="00BC6C0B" w:rsidRDefault="00000000">
            <w:pPr>
              <w:spacing w:after="0"/>
              <w:jc w:val="left"/>
            </w:pPr>
            <w:r>
              <w:rPr>
                <w:rFonts w:ascii="Arial" w:hAnsi="Arial"/>
                <w:sz w:val="14"/>
              </w:rPr>
              <w:t>Risk orientation; not a complete testing checklist.</w:t>
            </w:r>
          </w:p>
        </w:tc>
      </w:tr>
      <w:tr w:rsidR="00BC6C0B" w14:paraId="7DF48663" w14:textId="77777777">
        <w:trPr>
          <w:cantSplit/>
          <w:jc w:val="center"/>
        </w:trPr>
        <w:tc>
          <w:tcPr>
            <w:tcW w:w="1800" w:type="dxa"/>
            <w:shd w:val="clear" w:color="auto" w:fill="F4F7FB"/>
            <w:tcMar>
              <w:top w:w="70" w:type="dxa"/>
              <w:left w:w="70" w:type="dxa"/>
              <w:bottom w:w="70" w:type="dxa"/>
              <w:right w:w="70" w:type="dxa"/>
            </w:tcMar>
            <w:vAlign w:val="center"/>
          </w:tcPr>
          <w:p w14:paraId="2B4FA260" w14:textId="77777777" w:rsidR="00BC6C0B" w:rsidRDefault="00000000">
            <w:pPr>
              <w:spacing w:after="0"/>
              <w:jc w:val="left"/>
            </w:pPr>
            <w:r>
              <w:rPr>
                <w:rFonts w:ascii="Arial" w:hAnsi="Arial"/>
                <w:sz w:val="14"/>
              </w:rPr>
              <w:t>OWASP ASVS 5.0.0</w:t>
            </w:r>
          </w:p>
        </w:tc>
        <w:tc>
          <w:tcPr>
            <w:tcW w:w="1584" w:type="dxa"/>
            <w:shd w:val="clear" w:color="auto" w:fill="F4F7FB"/>
            <w:tcMar>
              <w:top w:w="70" w:type="dxa"/>
              <w:left w:w="70" w:type="dxa"/>
              <w:bottom w:w="70" w:type="dxa"/>
              <w:right w:w="70" w:type="dxa"/>
            </w:tcMar>
            <w:vAlign w:val="center"/>
          </w:tcPr>
          <w:p w14:paraId="2915172A" w14:textId="77777777" w:rsidR="00BC6C0B" w:rsidRDefault="00000000">
            <w:pPr>
              <w:spacing w:after="0"/>
              <w:jc w:val="left"/>
            </w:pPr>
            <w:r>
              <w:rPr>
                <w:rFonts w:ascii="Arial" w:hAnsi="Arial"/>
                <w:sz w:val="14"/>
              </w:rPr>
              <w:t>Stable, May 2025</w:t>
            </w:r>
          </w:p>
        </w:tc>
        <w:tc>
          <w:tcPr>
            <w:tcW w:w="3240" w:type="dxa"/>
            <w:shd w:val="clear" w:color="auto" w:fill="F4F7FB"/>
            <w:tcMar>
              <w:top w:w="70" w:type="dxa"/>
              <w:left w:w="70" w:type="dxa"/>
              <w:bottom w:w="70" w:type="dxa"/>
              <w:right w:w="70" w:type="dxa"/>
            </w:tcMar>
            <w:vAlign w:val="center"/>
          </w:tcPr>
          <w:p w14:paraId="29267B61" w14:textId="77777777" w:rsidR="00BC6C0B" w:rsidRDefault="00000000">
            <w:pPr>
              <w:spacing w:after="0"/>
              <w:jc w:val="left"/>
            </w:pPr>
            <w:r>
              <w:rPr>
                <w:rFonts w:ascii="Arial" w:hAnsi="Arial"/>
                <w:sz w:val="14"/>
              </w:rPr>
              <w:t>Detailed application-security verification requirements.</w:t>
            </w:r>
          </w:p>
        </w:tc>
        <w:tc>
          <w:tcPr>
            <w:tcW w:w="3240" w:type="dxa"/>
            <w:shd w:val="clear" w:color="auto" w:fill="F4F7FB"/>
            <w:tcMar>
              <w:top w:w="70" w:type="dxa"/>
              <w:left w:w="70" w:type="dxa"/>
              <w:bottom w:w="70" w:type="dxa"/>
              <w:right w:w="70" w:type="dxa"/>
            </w:tcMar>
            <w:vAlign w:val="center"/>
          </w:tcPr>
          <w:p w14:paraId="4457F8E7" w14:textId="77777777" w:rsidR="00BC6C0B" w:rsidRDefault="00000000">
            <w:pPr>
              <w:spacing w:after="0"/>
              <w:jc w:val="left"/>
            </w:pPr>
            <w:r>
              <w:rPr>
                <w:rFonts w:ascii="Arial" w:hAnsi="Arial"/>
                <w:sz w:val="14"/>
              </w:rPr>
              <w:t>Use as requirement-level evidence for web/service assurance.</w:t>
            </w:r>
          </w:p>
        </w:tc>
      </w:tr>
      <w:tr w:rsidR="00BC6C0B" w14:paraId="33912881" w14:textId="77777777">
        <w:trPr>
          <w:cantSplit/>
          <w:jc w:val="center"/>
        </w:trPr>
        <w:tc>
          <w:tcPr>
            <w:tcW w:w="1800" w:type="dxa"/>
            <w:tcMar>
              <w:top w:w="70" w:type="dxa"/>
              <w:left w:w="70" w:type="dxa"/>
              <w:bottom w:w="70" w:type="dxa"/>
              <w:right w:w="70" w:type="dxa"/>
            </w:tcMar>
            <w:vAlign w:val="center"/>
          </w:tcPr>
          <w:p w14:paraId="28D48751" w14:textId="77777777" w:rsidR="00BC6C0B" w:rsidRDefault="00000000">
            <w:pPr>
              <w:spacing w:after="0"/>
              <w:jc w:val="left"/>
            </w:pPr>
            <w:r>
              <w:rPr>
                <w:rFonts w:ascii="Arial" w:hAnsi="Arial"/>
                <w:sz w:val="14"/>
              </w:rPr>
              <w:t>OWASP WSTG 4.2</w:t>
            </w:r>
          </w:p>
        </w:tc>
        <w:tc>
          <w:tcPr>
            <w:tcW w:w="1584" w:type="dxa"/>
            <w:tcMar>
              <w:top w:w="70" w:type="dxa"/>
              <w:left w:w="70" w:type="dxa"/>
              <w:bottom w:w="70" w:type="dxa"/>
              <w:right w:w="70" w:type="dxa"/>
            </w:tcMar>
            <w:vAlign w:val="center"/>
          </w:tcPr>
          <w:p w14:paraId="7C57F1EF" w14:textId="77777777" w:rsidR="00BC6C0B" w:rsidRDefault="00000000">
            <w:pPr>
              <w:spacing w:after="0"/>
              <w:jc w:val="left"/>
            </w:pPr>
            <w:r>
              <w:rPr>
                <w:rFonts w:ascii="Arial" w:hAnsi="Arial"/>
                <w:sz w:val="14"/>
              </w:rPr>
              <w:t>Current stable</w:t>
            </w:r>
          </w:p>
        </w:tc>
        <w:tc>
          <w:tcPr>
            <w:tcW w:w="3240" w:type="dxa"/>
            <w:tcMar>
              <w:top w:w="70" w:type="dxa"/>
              <w:left w:w="70" w:type="dxa"/>
              <w:bottom w:w="70" w:type="dxa"/>
              <w:right w:w="70" w:type="dxa"/>
            </w:tcMar>
            <w:vAlign w:val="center"/>
          </w:tcPr>
          <w:p w14:paraId="54E950EA" w14:textId="77777777" w:rsidR="00BC6C0B" w:rsidRDefault="00000000">
            <w:pPr>
              <w:spacing w:after="0"/>
              <w:jc w:val="left"/>
            </w:pPr>
            <w:r>
              <w:rPr>
                <w:rFonts w:ascii="Arial" w:hAnsi="Arial"/>
                <w:sz w:val="14"/>
              </w:rPr>
              <w:t>Web security testing framework and test scenarios.</w:t>
            </w:r>
          </w:p>
        </w:tc>
        <w:tc>
          <w:tcPr>
            <w:tcW w:w="3240" w:type="dxa"/>
            <w:tcMar>
              <w:top w:w="70" w:type="dxa"/>
              <w:left w:w="70" w:type="dxa"/>
              <w:bottom w:w="70" w:type="dxa"/>
              <w:right w:w="70" w:type="dxa"/>
            </w:tcMar>
            <w:vAlign w:val="center"/>
          </w:tcPr>
          <w:p w14:paraId="15D1FADA" w14:textId="77777777" w:rsidR="00BC6C0B" w:rsidRDefault="00000000">
            <w:pPr>
              <w:spacing w:after="0"/>
              <w:jc w:val="left"/>
            </w:pPr>
            <w:r>
              <w:rPr>
                <w:rFonts w:ascii="Arial" w:hAnsi="Arial"/>
                <w:sz w:val="14"/>
              </w:rPr>
              <w:t>Use for structured web testing; version-pin scenario identifiers in reports.</w:t>
            </w:r>
          </w:p>
        </w:tc>
      </w:tr>
      <w:tr w:rsidR="00BC6C0B" w14:paraId="27E1D770" w14:textId="77777777">
        <w:trPr>
          <w:cantSplit/>
          <w:jc w:val="center"/>
        </w:trPr>
        <w:tc>
          <w:tcPr>
            <w:tcW w:w="1800" w:type="dxa"/>
            <w:shd w:val="clear" w:color="auto" w:fill="F4F7FB"/>
            <w:tcMar>
              <w:top w:w="70" w:type="dxa"/>
              <w:left w:w="70" w:type="dxa"/>
              <w:bottom w:w="70" w:type="dxa"/>
              <w:right w:w="70" w:type="dxa"/>
            </w:tcMar>
            <w:vAlign w:val="center"/>
          </w:tcPr>
          <w:p w14:paraId="62CBB640" w14:textId="77777777" w:rsidR="00BC6C0B" w:rsidRDefault="00000000">
            <w:pPr>
              <w:spacing w:after="0"/>
              <w:jc w:val="left"/>
            </w:pPr>
            <w:r>
              <w:rPr>
                <w:rFonts w:ascii="Arial" w:hAnsi="Arial"/>
                <w:sz w:val="14"/>
              </w:rPr>
              <w:t>MITRE ATT&amp;CK v19.2</w:t>
            </w:r>
          </w:p>
        </w:tc>
        <w:tc>
          <w:tcPr>
            <w:tcW w:w="1584" w:type="dxa"/>
            <w:shd w:val="clear" w:color="auto" w:fill="F4F7FB"/>
            <w:tcMar>
              <w:top w:w="70" w:type="dxa"/>
              <w:left w:w="70" w:type="dxa"/>
              <w:bottom w:w="70" w:type="dxa"/>
              <w:right w:w="70" w:type="dxa"/>
            </w:tcMar>
            <w:vAlign w:val="center"/>
          </w:tcPr>
          <w:p w14:paraId="3C1BA9D7" w14:textId="77777777" w:rsidR="00BC6C0B" w:rsidRDefault="00000000">
            <w:pPr>
              <w:spacing w:after="0"/>
              <w:jc w:val="left"/>
            </w:pPr>
            <w:r>
              <w:rPr>
                <w:rFonts w:ascii="Arial" w:hAnsi="Arial"/>
                <w:sz w:val="14"/>
              </w:rPr>
              <w:t>Current, Aug. 2026</w:t>
            </w:r>
          </w:p>
        </w:tc>
        <w:tc>
          <w:tcPr>
            <w:tcW w:w="3240" w:type="dxa"/>
            <w:shd w:val="clear" w:color="auto" w:fill="F4F7FB"/>
            <w:tcMar>
              <w:top w:w="70" w:type="dxa"/>
              <w:left w:w="70" w:type="dxa"/>
              <w:bottom w:w="70" w:type="dxa"/>
              <w:right w:w="70" w:type="dxa"/>
            </w:tcMar>
            <w:vAlign w:val="center"/>
          </w:tcPr>
          <w:p w14:paraId="0C4F68DD" w14:textId="77777777" w:rsidR="00BC6C0B" w:rsidRDefault="00000000">
            <w:pPr>
              <w:spacing w:after="0"/>
              <w:jc w:val="left"/>
            </w:pPr>
            <w:r>
              <w:rPr>
                <w:rFonts w:ascii="Arial" w:hAnsi="Arial"/>
                <w:sz w:val="14"/>
              </w:rPr>
              <w:t>Adversary tactics/techniques and detection-oriented knowledge.</w:t>
            </w:r>
          </w:p>
        </w:tc>
        <w:tc>
          <w:tcPr>
            <w:tcW w:w="3240" w:type="dxa"/>
            <w:shd w:val="clear" w:color="auto" w:fill="F4F7FB"/>
            <w:tcMar>
              <w:top w:w="70" w:type="dxa"/>
              <w:left w:w="70" w:type="dxa"/>
              <w:bottom w:w="70" w:type="dxa"/>
              <w:right w:w="70" w:type="dxa"/>
            </w:tcMar>
            <w:vAlign w:val="center"/>
          </w:tcPr>
          <w:p w14:paraId="5D768BE6" w14:textId="77777777" w:rsidR="00BC6C0B" w:rsidRDefault="00000000">
            <w:pPr>
              <w:spacing w:after="0"/>
              <w:jc w:val="left"/>
            </w:pPr>
            <w:r>
              <w:rPr>
                <w:rFonts w:ascii="Arial" w:hAnsi="Arial"/>
                <w:sz w:val="14"/>
              </w:rPr>
              <w:t>Use to design emulation hypotheses and coverage, not as a vulnerability scanner.</w:t>
            </w:r>
          </w:p>
        </w:tc>
      </w:tr>
      <w:tr w:rsidR="00BC6C0B" w14:paraId="7DA69FB6" w14:textId="77777777">
        <w:trPr>
          <w:cantSplit/>
          <w:jc w:val="center"/>
        </w:trPr>
        <w:tc>
          <w:tcPr>
            <w:tcW w:w="1800" w:type="dxa"/>
            <w:tcMar>
              <w:top w:w="70" w:type="dxa"/>
              <w:left w:w="70" w:type="dxa"/>
              <w:bottom w:w="70" w:type="dxa"/>
              <w:right w:w="70" w:type="dxa"/>
            </w:tcMar>
            <w:vAlign w:val="center"/>
          </w:tcPr>
          <w:p w14:paraId="1E12B836" w14:textId="77777777" w:rsidR="00BC6C0B" w:rsidRDefault="00000000">
            <w:pPr>
              <w:spacing w:after="0"/>
              <w:jc w:val="left"/>
            </w:pPr>
            <w:r>
              <w:rPr>
                <w:rFonts w:ascii="Arial" w:hAnsi="Arial"/>
                <w:sz w:val="14"/>
              </w:rPr>
              <w:t>CIS Controls v8.1</w:t>
            </w:r>
          </w:p>
        </w:tc>
        <w:tc>
          <w:tcPr>
            <w:tcW w:w="1584" w:type="dxa"/>
            <w:tcMar>
              <w:top w:w="70" w:type="dxa"/>
              <w:left w:w="70" w:type="dxa"/>
              <w:bottom w:w="70" w:type="dxa"/>
              <w:right w:w="70" w:type="dxa"/>
            </w:tcMar>
            <w:vAlign w:val="center"/>
          </w:tcPr>
          <w:p w14:paraId="4F319EE5" w14:textId="77777777" w:rsidR="00BC6C0B" w:rsidRDefault="00000000">
            <w:pPr>
              <w:spacing w:after="0"/>
              <w:jc w:val="left"/>
            </w:pPr>
            <w:r>
              <w:rPr>
                <w:rFonts w:ascii="Arial" w:hAnsi="Arial"/>
                <w:sz w:val="14"/>
              </w:rPr>
              <w:t>Current, 2024</w:t>
            </w:r>
          </w:p>
        </w:tc>
        <w:tc>
          <w:tcPr>
            <w:tcW w:w="3240" w:type="dxa"/>
            <w:tcMar>
              <w:top w:w="70" w:type="dxa"/>
              <w:left w:w="70" w:type="dxa"/>
              <w:bottom w:w="70" w:type="dxa"/>
              <w:right w:w="70" w:type="dxa"/>
            </w:tcMar>
            <w:vAlign w:val="center"/>
          </w:tcPr>
          <w:p w14:paraId="3DA9A8A2" w14:textId="77777777" w:rsidR="00BC6C0B" w:rsidRDefault="00000000">
            <w:pPr>
              <w:spacing w:after="0"/>
              <w:jc w:val="left"/>
            </w:pPr>
            <w:r>
              <w:rPr>
                <w:rFonts w:ascii="Arial" w:hAnsi="Arial"/>
                <w:sz w:val="14"/>
              </w:rPr>
              <w:t>Prioritized security safeguards aligned with CSF 2.0.</w:t>
            </w:r>
          </w:p>
        </w:tc>
        <w:tc>
          <w:tcPr>
            <w:tcW w:w="3240" w:type="dxa"/>
            <w:tcMar>
              <w:top w:w="70" w:type="dxa"/>
              <w:left w:w="70" w:type="dxa"/>
              <w:bottom w:w="70" w:type="dxa"/>
              <w:right w:w="70" w:type="dxa"/>
            </w:tcMar>
            <w:vAlign w:val="center"/>
          </w:tcPr>
          <w:p w14:paraId="30B728D7" w14:textId="77777777" w:rsidR="00BC6C0B" w:rsidRDefault="00000000">
            <w:pPr>
              <w:spacing w:after="0"/>
              <w:jc w:val="left"/>
            </w:pPr>
            <w:r>
              <w:rPr>
                <w:rFonts w:ascii="Arial" w:hAnsi="Arial"/>
                <w:sz w:val="14"/>
              </w:rPr>
              <w:t>Useful for remediation baselines and control-gap communication.</w:t>
            </w:r>
          </w:p>
        </w:tc>
      </w:tr>
      <w:tr w:rsidR="00BC6C0B" w14:paraId="56770BEF" w14:textId="77777777">
        <w:trPr>
          <w:cantSplit/>
          <w:jc w:val="center"/>
        </w:trPr>
        <w:tc>
          <w:tcPr>
            <w:tcW w:w="1800" w:type="dxa"/>
            <w:shd w:val="clear" w:color="auto" w:fill="F4F7FB"/>
            <w:tcMar>
              <w:top w:w="70" w:type="dxa"/>
              <w:left w:w="70" w:type="dxa"/>
              <w:bottom w:w="70" w:type="dxa"/>
              <w:right w:w="70" w:type="dxa"/>
            </w:tcMar>
            <w:vAlign w:val="center"/>
          </w:tcPr>
          <w:p w14:paraId="7C4A00A0" w14:textId="77777777" w:rsidR="00BC6C0B" w:rsidRDefault="00000000">
            <w:pPr>
              <w:spacing w:after="0"/>
              <w:jc w:val="left"/>
            </w:pPr>
            <w:r>
              <w:rPr>
                <w:rFonts w:ascii="Arial" w:hAnsi="Arial"/>
                <w:sz w:val="14"/>
              </w:rPr>
              <w:t>ISO/IEC 27001:2022</w:t>
            </w:r>
          </w:p>
        </w:tc>
        <w:tc>
          <w:tcPr>
            <w:tcW w:w="1584" w:type="dxa"/>
            <w:shd w:val="clear" w:color="auto" w:fill="F4F7FB"/>
            <w:tcMar>
              <w:top w:w="70" w:type="dxa"/>
              <w:left w:w="70" w:type="dxa"/>
              <w:bottom w:w="70" w:type="dxa"/>
              <w:right w:w="70" w:type="dxa"/>
            </w:tcMar>
            <w:vAlign w:val="center"/>
          </w:tcPr>
          <w:p w14:paraId="3E06EF8A" w14:textId="77777777" w:rsidR="00BC6C0B" w:rsidRDefault="00000000">
            <w:pPr>
              <w:spacing w:after="0"/>
              <w:jc w:val="left"/>
            </w:pPr>
            <w:r>
              <w:rPr>
                <w:rFonts w:ascii="Arial" w:hAnsi="Arial"/>
                <w:sz w:val="14"/>
              </w:rPr>
              <w:t>Published</w:t>
            </w:r>
          </w:p>
        </w:tc>
        <w:tc>
          <w:tcPr>
            <w:tcW w:w="3240" w:type="dxa"/>
            <w:shd w:val="clear" w:color="auto" w:fill="F4F7FB"/>
            <w:tcMar>
              <w:top w:w="70" w:type="dxa"/>
              <w:left w:w="70" w:type="dxa"/>
              <w:bottom w:w="70" w:type="dxa"/>
              <w:right w:w="70" w:type="dxa"/>
            </w:tcMar>
            <w:vAlign w:val="center"/>
          </w:tcPr>
          <w:p w14:paraId="2B204CE3" w14:textId="77777777" w:rsidR="00BC6C0B" w:rsidRDefault="00000000">
            <w:pPr>
              <w:spacing w:after="0"/>
              <w:jc w:val="left"/>
            </w:pPr>
            <w:r>
              <w:rPr>
                <w:rFonts w:ascii="Arial" w:hAnsi="Arial"/>
                <w:sz w:val="14"/>
              </w:rPr>
              <w:t>ISMS requirements.</w:t>
            </w:r>
          </w:p>
        </w:tc>
        <w:tc>
          <w:tcPr>
            <w:tcW w:w="3240" w:type="dxa"/>
            <w:shd w:val="clear" w:color="auto" w:fill="F4F7FB"/>
            <w:tcMar>
              <w:top w:w="70" w:type="dxa"/>
              <w:left w:w="70" w:type="dxa"/>
              <w:bottom w:w="70" w:type="dxa"/>
              <w:right w:w="70" w:type="dxa"/>
            </w:tcMar>
            <w:vAlign w:val="center"/>
          </w:tcPr>
          <w:p w14:paraId="11326C72" w14:textId="77777777" w:rsidR="00BC6C0B" w:rsidRDefault="00000000">
            <w:pPr>
              <w:spacing w:after="0"/>
              <w:jc w:val="left"/>
            </w:pPr>
            <w:r>
              <w:rPr>
                <w:rFonts w:ascii="Arial" w:hAnsi="Arial"/>
                <w:sz w:val="14"/>
              </w:rPr>
              <w:t>Governance and continual improvement context for assessment programmes.</w:t>
            </w:r>
          </w:p>
        </w:tc>
      </w:tr>
      <w:tr w:rsidR="00BC6C0B" w14:paraId="1DA77D5E" w14:textId="77777777">
        <w:trPr>
          <w:cantSplit/>
          <w:jc w:val="center"/>
        </w:trPr>
        <w:tc>
          <w:tcPr>
            <w:tcW w:w="1800" w:type="dxa"/>
            <w:tcMar>
              <w:top w:w="70" w:type="dxa"/>
              <w:left w:w="70" w:type="dxa"/>
              <w:bottom w:w="70" w:type="dxa"/>
              <w:right w:w="70" w:type="dxa"/>
            </w:tcMar>
            <w:vAlign w:val="center"/>
          </w:tcPr>
          <w:p w14:paraId="3011A458" w14:textId="77777777" w:rsidR="00BC6C0B" w:rsidRDefault="00000000">
            <w:pPr>
              <w:spacing w:after="0"/>
              <w:jc w:val="left"/>
            </w:pPr>
            <w:r>
              <w:rPr>
                <w:rFonts w:ascii="Arial" w:hAnsi="Arial"/>
                <w:sz w:val="14"/>
              </w:rPr>
              <w:t>ISO/IEC 27002:2022</w:t>
            </w:r>
          </w:p>
        </w:tc>
        <w:tc>
          <w:tcPr>
            <w:tcW w:w="1584" w:type="dxa"/>
            <w:tcMar>
              <w:top w:w="70" w:type="dxa"/>
              <w:left w:w="70" w:type="dxa"/>
              <w:bottom w:w="70" w:type="dxa"/>
              <w:right w:w="70" w:type="dxa"/>
            </w:tcMar>
            <w:vAlign w:val="center"/>
          </w:tcPr>
          <w:p w14:paraId="2FDA999D" w14:textId="77777777" w:rsidR="00BC6C0B" w:rsidRDefault="00000000">
            <w:pPr>
              <w:spacing w:after="0"/>
              <w:jc w:val="left"/>
            </w:pPr>
            <w:r>
              <w:rPr>
                <w:rFonts w:ascii="Arial" w:hAnsi="Arial"/>
                <w:sz w:val="14"/>
              </w:rPr>
              <w:t>Published</w:t>
            </w:r>
          </w:p>
        </w:tc>
        <w:tc>
          <w:tcPr>
            <w:tcW w:w="3240" w:type="dxa"/>
            <w:tcMar>
              <w:top w:w="70" w:type="dxa"/>
              <w:left w:w="70" w:type="dxa"/>
              <w:bottom w:w="70" w:type="dxa"/>
              <w:right w:w="70" w:type="dxa"/>
            </w:tcMar>
            <w:vAlign w:val="center"/>
          </w:tcPr>
          <w:p w14:paraId="7043E71C" w14:textId="77777777" w:rsidR="00BC6C0B" w:rsidRDefault="00000000">
            <w:pPr>
              <w:spacing w:after="0"/>
              <w:jc w:val="left"/>
            </w:pPr>
            <w:r>
              <w:rPr>
                <w:rFonts w:ascii="Arial" w:hAnsi="Arial"/>
                <w:sz w:val="14"/>
              </w:rPr>
              <w:t>Information-security controls guidance.</w:t>
            </w:r>
          </w:p>
        </w:tc>
        <w:tc>
          <w:tcPr>
            <w:tcW w:w="3240" w:type="dxa"/>
            <w:tcMar>
              <w:top w:w="70" w:type="dxa"/>
              <w:left w:w="70" w:type="dxa"/>
              <w:bottom w:w="70" w:type="dxa"/>
              <w:right w:w="70" w:type="dxa"/>
            </w:tcMar>
            <w:vAlign w:val="center"/>
          </w:tcPr>
          <w:p w14:paraId="78061D85" w14:textId="77777777" w:rsidR="00BC6C0B" w:rsidRDefault="00000000">
            <w:pPr>
              <w:spacing w:after="0"/>
              <w:jc w:val="left"/>
            </w:pPr>
            <w:r>
              <w:rPr>
                <w:rFonts w:ascii="Arial" w:hAnsi="Arial"/>
                <w:sz w:val="14"/>
              </w:rPr>
              <w:t>Control design/remediation reference.</w:t>
            </w:r>
          </w:p>
        </w:tc>
      </w:tr>
      <w:tr w:rsidR="00BC6C0B" w14:paraId="645A815A" w14:textId="77777777">
        <w:trPr>
          <w:cantSplit/>
          <w:jc w:val="center"/>
        </w:trPr>
        <w:tc>
          <w:tcPr>
            <w:tcW w:w="1800" w:type="dxa"/>
            <w:shd w:val="clear" w:color="auto" w:fill="F4F7FB"/>
            <w:tcMar>
              <w:top w:w="70" w:type="dxa"/>
              <w:left w:w="70" w:type="dxa"/>
              <w:bottom w:w="70" w:type="dxa"/>
              <w:right w:w="70" w:type="dxa"/>
            </w:tcMar>
            <w:vAlign w:val="center"/>
          </w:tcPr>
          <w:p w14:paraId="3D8130FA" w14:textId="77777777" w:rsidR="00BC6C0B" w:rsidRDefault="00000000">
            <w:pPr>
              <w:spacing w:after="0"/>
              <w:jc w:val="left"/>
            </w:pPr>
            <w:r>
              <w:rPr>
                <w:rFonts w:ascii="Arial" w:hAnsi="Arial"/>
                <w:sz w:val="14"/>
              </w:rPr>
              <w:lastRenderedPageBreak/>
              <w:t>ISO/IEC 27005:2022</w:t>
            </w:r>
          </w:p>
        </w:tc>
        <w:tc>
          <w:tcPr>
            <w:tcW w:w="1584" w:type="dxa"/>
            <w:shd w:val="clear" w:color="auto" w:fill="F4F7FB"/>
            <w:tcMar>
              <w:top w:w="70" w:type="dxa"/>
              <w:left w:w="70" w:type="dxa"/>
              <w:bottom w:w="70" w:type="dxa"/>
              <w:right w:w="70" w:type="dxa"/>
            </w:tcMar>
            <w:vAlign w:val="center"/>
          </w:tcPr>
          <w:p w14:paraId="2040B8A5" w14:textId="77777777" w:rsidR="00BC6C0B" w:rsidRDefault="00000000">
            <w:pPr>
              <w:spacing w:after="0"/>
              <w:jc w:val="left"/>
            </w:pPr>
            <w:r>
              <w:rPr>
                <w:rFonts w:ascii="Arial" w:hAnsi="Arial"/>
                <w:sz w:val="14"/>
              </w:rPr>
              <w:t>Published</w:t>
            </w:r>
          </w:p>
        </w:tc>
        <w:tc>
          <w:tcPr>
            <w:tcW w:w="3240" w:type="dxa"/>
            <w:shd w:val="clear" w:color="auto" w:fill="F4F7FB"/>
            <w:tcMar>
              <w:top w:w="70" w:type="dxa"/>
              <w:left w:w="70" w:type="dxa"/>
              <w:bottom w:w="70" w:type="dxa"/>
              <w:right w:w="70" w:type="dxa"/>
            </w:tcMar>
            <w:vAlign w:val="center"/>
          </w:tcPr>
          <w:p w14:paraId="6DF852E7" w14:textId="77777777" w:rsidR="00BC6C0B" w:rsidRDefault="00000000">
            <w:pPr>
              <w:spacing w:after="0"/>
              <w:jc w:val="left"/>
            </w:pPr>
            <w:r>
              <w:rPr>
                <w:rFonts w:ascii="Arial" w:hAnsi="Arial"/>
                <w:sz w:val="14"/>
              </w:rPr>
              <w:t>Information-security risk management.</w:t>
            </w:r>
          </w:p>
        </w:tc>
        <w:tc>
          <w:tcPr>
            <w:tcW w:w="3240" w:type="dxa"/>
            <w:shd w:val="clear" w:color="auto" w:fill="F4F7FB"/>
            <w:tcMar>
              <w:top w:w="70" w:type="dxa"/>
              <w:left w:w="70" w:type="dxa"/>
              <w:bottom w:w="70" w:type="dxa"/>
              <w:right w:w="70" w:type="dxa"/>
            </w:tcMar>
            <w:vAlign w:val="center"/>
          </w:tcPr>
          <w:p w14:paraId="6A915443" w14:textId="77777777" w:rsidR="00BC6C0B" w:rsidRDefault="00000000">
            <w:pPr>
              <w:spacing w:after="0"/>
              <w:jc w:val="left"/>
            </w:pPr>
            <w:r>
              <w:rPr>
                <w:rFonts w:ascii="Arial" w:hAnsi="Arial"/>
                <w:sz w:val="14"/>
              </w:rPr>
              <w:t>Risk identification, assessment, treatment and review.</w:t>
            </w:r>
          </w:p>
        </w:tc>
      </w:tr>
      <w:tr w:rsidR="00BC6C0B" w14:paraId="1B526A0C" w14:textId="77777777">
        <w:trPr>
          <w:cantSplit/>
          <w:jc w:val="center"/>
        </w:trPr>
        <w:tc>
          <w:tcPr>
            <w:tcW w:w="1800" w:type="dxa"/>
            <w:tcMar>
              <w:top w:w="70" w:type="dxa"/>
              <w:left w:w="70" w:type="dxa"/>
              <w:bottom w:w="70" w:type="dxa"/>
              <w:right w:w="70" w:type="dxa"/>
            </w:tcMar>
            <w:vAlign w:val="center"/>
          </w:tcPr>
          <w:p w14:paraId="7F2152ED" w14:textId="77777777" w:rsidR="00BC6C0B" w:rsidRDefault="00000000">
            <w:pPr>
              <w:spacing w:after="0"/>
              <w:jc w:val="left"/>
            </w:pPr>
            <w:r>
              <w:rPr>
                <w:rFonts w:ascii="Arial" w:hAnsi="Arial"/>
                <w:sz w:val="14"/>
              </w:rPr>
              <w:t>ISO/IEC 29147:2018</w:t>
            </w:r>
          </w:p>
        </w:tc>
        <w:tc>
          <w:tcPr>
            <w:tcW w:w="1584" w:type="dxa"/>
            <w:tcMar>
              <w:top w:w="70" w:type="dxa"/>
              <w:left w:w="70" w:type="dxa"/>
              <w:bottom w:w="70" w:type="dxa"/>
              <w:right w:w="70" w:type="dxa"/>
            </w:tcMar>
            <w:vAlign w:val="center"/>
          </w:tcPr>
          <w:p w14:paraId="3C774A41" w14:textId="77777777" w:rsidR="00BC6C0B" w:rsidRDefault="00000000">
            <w:pPr>
              <w:spacing w:after="0"/>
              <w:jc w:val="left"/>
            </w:pPr>
            <w:r>
              <w:rPr>
                <w:rFonts w:ascii="Arial" w:hAnsi="Arial"/>
                <w:sz w:val="14"/>
              </w:rPr>
              <w:t>Current</w:t>
            </w:r>
          </w:p>
        </w:tc>
        <w:tc>
          <w:tcPr>
            <w:tcW w:w="3240" w:type="dxa"/>
            <w:tcMar>
              <w:top w:w="70" w:type="dxa"/>
              <w:left w:w="70" w:type="dxa"/>
              <w:bottom w:w="70" w:type="dxa"/>
              <w:right w:w="70" w:type="dxa"/>
            </w:tcMar>
            <w:vAlign w:val="center"/>
          </w:tcPr>
          <w:p w14:paraId="476878B4" w14:textId="77777777" w:rsidR="00BC6C0B" w:rsidRDefault="00000000">
            <w:pPr>
              <w:spacing w:after="0"/>
              <w:jc w:val="left"/>
            </w:pPr>
            <w:r>
              <w:rPr>
                <w:rFonts w:ascii="Arial" w:hAnsi="Arial"/>
                <w:sz w:val="14"/>
              </w:rPr>
              <w:t>Vulnerability disclosure.</w:t>
            </w:r>
          </w:p>
        </w:tc>
        <w:tc>
          <w:tcPr>
            <w:tcW w:w="3240" w:type="dxa"/>
            <w:tcMar>
              <w:top w:w="70" w:type="dxa"/>
              <w:left w:w="70" w:type="dxa"/>
              <w:bottom w:w="70" w:type="dxa"/>
              <w:right w:w="70" w:type="dxa"/>
            </w:tcMar>
            <w:vAlign w:val="center"/>
          </w:tcPr>
          <w:p w14:paraId="0DEB6A1C" w14:textId="77777777" w:rsidR="00BC6C0B" w:rsidRDefault="00000000">
            <w:pPr>
              <w:spacing w:after="0"/>
              <w:jc w:val="left"/>
            </w:pPr>
            <w:r>
              <w:rPr>
                <w:rFonts w:ascii="Arial" w:hAnsi="Arial"/>
                <w:sz w:val="14"/>
              </w:rPr>
              <w:t>Responsible/coordinated disclosure procedures.</w:t>
            </w:r>
          </w:p>
        </w:tc>
      </w:tr>
      <w:tr w:rsidR="00BC6C0B" w14:paraId="52602EB1" w14:textId="77777777">
        <w:trPr>
          <w:cantSplit/>
          <w:jc w:val="center"/>
        </w:trPr>
        <w:tc>
          <w:tcPr>
            <w:tcW w:w="1800" w:type="dxa"/>
            <w:shd w:val="clear" w:color="auto" w:fill="F4F7FB"/>
            <w:tcMar>
              <w:top w:w="70" w:type="dxa"/>
              <w:left w:w="70" w:type="dxa"/>
              <w:bottom w:w="70" w:type="dxa"/>
              <w:right w:w="70" w:type="dxa"/>
            </w:tcMar>
            <w:vAlign w:val="center"/>
          </w:tcPr>
          <w:p w14:paraId="43BB18D7" w14:textId="77777777" w:rsidR="00BC6C0B" w:rsidRDefault="00000000">
            <w:pPr>
              <w:spacing w:after="0"/>
              <w:jc w:val="left"/>
            </w:pPr>
            <w:r>
              <w:rPr>
                <w:rFonts w:ascii="Arial" w:hAnsi="Arial"/>
                <w:sz w:val="14"/>
              </w:rPr>
              <w:t>ISO/IEC 30111:2019</w:t>
            </w:r>
          </w:p>
        </w:tc>
        <w:tc>
          <w:tcPr>
            <w:tcW w:w="1584" w:type="dxa"/>
            <w:shd w:val="clear" w:color="auto" w:fill="F4F7FB"/>
            <w:tcMar>
              <w:top w:w="70" w:type="dxa"/>
              <w:left w:w="70" w:type="dxa"/>
              <w:bottom w:w="70" w:type="dxa"/>
              <w:right w:w="70" w:type="dxa"/>
            </w:tcMar>
            <w:vAlign w:val="center"/>
          </w:tcPr>
          <w:p w14:paraId="7BB4B8B5" w14:textId="77777777" w:rsidR="00BC6C0B" w:rsidRDefault="00000000">
            <w:pPr>
              <w:spacing w:after="0"/>
              <w:jc w:val="left"/>
            </w:pPr>
            <w:r>
              <w:rPr>
                <w:rFonts w:ascii="Arial" w:hAnsi="Arial"/>
                <w:sz w:val="14"/>
              </w:rPr>
              <w:t>Current</w:t>
            </w:r>
          </w:p>
        </w:tc>
        <w:tc>
          <w:tcPr>
            <w:tcW w:w="3240" w:type="dxa"/>
            <w:shd w:val="clear" w:color="auto" w:fill="F4F7FB"/>
            <w:tcMar>
              <w:top w:w="70" w:type="dxa"/>
              <w:left w:w="70" w:type="dxa"/>
              <w:bottom w:w="70" w:type="dxa"/>
              <w:right w:w="70" w:type="dxa"/>
            </w:tcMar>
            <w:vAlign w:val="center"/>
          </w:tcPr>
          <w:p w14:paraId="5F1EF854" w14:textId="77777777" w:rsidR="00BC6C0B" w:rsidRDefault="00000000">
            <w:pPr>
              <w:spacing w:after="0"/>
              <w:jc w:val="left"/>
            </w:pPr>
            <w:r>
              <w:rPr>
                <w:rFonts w:ascii="Arial" w:hAnsi="Arial"/>
                <w:sz w:val="14"/>
              </w:rPr>
              <w:t>Vulnerability handling processes.</w:t>
            </w:r>
          </w:p>
        </w:tc>
        <w:tc>
          <w:tcPr>
            <w:tcW w:w="3240" w:type="dxa"/>
            <w:shd w:val="clear" w:color="auto" w:fill="F4F7FB"/>
            <w:tcMar>
              <w:top w:w="70" w:type="dxa"/>
              <w:left w:w="70" w:type="dxa"/>
              <w:bottom w:w="70" w:type="dxa"/>
              <w:right w:w="70" w:type="dxa"/>
            </w:tcMar>
            <w:vAlign w:val="center"/>
          </w:tcPr>
          <w:p w14:paraId="4229A308" w14:textId="77777777" w:rsidR="00BC6C0B" w:rsidRDefault="00000000">
            <w:pPr>
              <w:spacing w:after="0"/>
              <w:jc w:val="left"/>
            </w:pPr>
            <w:r>
              <w:rPr>
                <w:rFonts w:ascii="Arial" w:hAnsi="Arial"/>
                <w:sz w:val="14"/>
              </w:rPr>
              <w:t>Vendor-side intake, remediation and lifecycle handling.</w:t>
            </w:r>
          </w:p>
        </w:tc>
      </w:tr>
      <w:tr w:rsidR="00BC6C0B" w14:paraId="64CD801E" w14:textId="77777777">
        <w:trPr>
          <w:cantSplit/>
          <w:jc w:val="center"/>
        </w:trPr>
        <w:tc>
          <w:tcPr>
            <w:tcW w:w="1800" w:type="dxa"/>
            <w:tcMar>
              <w:top w:w="70" w:type="dxa"/>
              <w:left w:w="70" w:type="dxa"/>
              <w:bottom w:w="70" w:type="dxa"/>
              <w:right w:w="70" w:type="dxa"/>
            </w:tcMar>
            <w:vAlign w:val="center"/>
          </w:tcPr>
          <w:p w14:paraId="4EEC0C66" w14:textId="77777777" w:rsidR="00BC6C0B" w:rsidRDefault="00000000">
            <w:pPr>
              <w:spacing w:after="0"/>
              <w:jc w:val="left"/>
            </w:pPr>
            <w:r>
              <w:rPr>
                <w:rFonts w:ascii="Arial" w:hAnsi="Arial"/>
                <w:sz w:val="14"/>
              </w:rPr>
              <w:t>FIRST CVSS v4.0</w:t>
            </w:r>
          </w:p>
        </w:tc>
        <w:tc>
          <w:tcPr>
            <w:tcW w:w="1584" w:type="dxa"/>
            <w:tcMar>
              <w:top w:w="70" w:type="dxa"/>
              <w:left w:w="70" w:type="dxa"/>
              <w:bottom w:w="70" w:type="dxa"/>
              <w:right w:w="70" w:type="dxa"/>
            </w:tcMar>
            <w:vAlign w:val="center"/>
          </w:tcPr>
          <w:p w14:paraId="50A48590" w14:textId="77777777" w:rsidR="00BC6C0B" w:rsidRDefault="00000000">
            <w:pPr>
              <w:spacing w:after="0"/>
              <w:jc w:val="left"/>
            </w:pPr>
            <w:r>
              <w:rPr>
                <w:rFonts w:ascii="Arial" w:hAnsi="Arial"/>
                <w:sz w:val="14"/>
              </w:rPr>
              <w:t>Current</w:t>
            </w:r>
          </w:p>
        </w:tc>
        <w:tc>
          <w:tcPr>
            <w:tcW w:w="3240" w:type="dxa"/>
            <w:tcMar>
              <w:top w:w="70" w:type="dxa"/>
              <w:left w:w="70" w:type="dxa"/>
              <w:bottom w:w="70" w:type="dxa"/>
              <w:right w:w="70" w:type="dxa"/>
            </w:tcMar>
            <w:vAlign w:val="center"/>
          </w:tcPr>
          <w:p w14:paraId="52A4BD5A" w14:textId="77777777" w:rsidR="00BC6C0B" w:rsidRDefault="00000000">
            <w:pPr>
              <w:spacing w:after="0"/>
              <w:jc w:val="left"/>
            </w:pPr>
            <w:r>
              <w:rPr>
                <w:rFonts w:ascii="Arial" w:hAnsi="Arial"/>
                <w:sz w:val="14"/>
              </w:rPr>
              <w:t>Standardized vulnerability severity characterization.</w:t>
            </w:r>
          </w:p>
        </w:tc>
        <w:tc>
          <w:tcPr>
            <w:tcW w:w="3240" w:type="dxa"/>
            <w:tcMar>
              <w:top w:w="70" w:type="dxa"/>
              <w:left w:w="70" w:type="dxa"/>
              <w:bottom w:w="70" w:type="dxa"/>
              <w:right w:w="70" w:type="dxa"/>
            </w:tcMar>
            <w:vAlign w:val="center"/>
          </w:tcPr>
          <w:p w14:paraId="15010FF2" w14:textId="77777777" w:rsidR="00BC6C0B" w:rsidRDefault="00000000">
            <w:pPr>
              <w:spacing w:after="0"/>
              <w:jc w:val="left"/>
            </w:pPr>
            <w:r>
              <w:rPr>
                <w:rFonts w:ascii="Arial" w:hAnsi="Arial"/>
                <w:sz w:val="14"/>
              </w:rPr>
              <w:t>Severity input; do not treat Base score as business risk.</w:t>
            </w:r>
          </w:p>
        </w:tc>
      </w:tr>
      <w:tr w:rsidR="00BC6C0B" w14:paraId="4178AE73" w14:textId="77777777">
        <w:trPr>
          <w:cantSplit/>
          <w:jc w:val="center"/>
        </w:trPr>
        <w:tc>
          <w:tcPr>
            <w:tcW w:w="1800" w:type="dxa"/>
            <w:shd w:val="clear" w:color="auto" w:fill="F4F7FB"/>
            <w:tcMar>
              <w:top w:w="70" w:type="dxa"/>
              <w:left w:w="70" w:type="dxa"/>
              <w:bottom w:w="70" w:type="dxa"/>
              <w:right w:w="70" w:type="dxa"/>
            </w:tcMar>
            <w:vAlign w:val="center"/>
          </w:tcPr>
          <w:p w14:paraId="3AB8EA7F" w14:textId="77777777" w:rsidR="00BC6C0B" w:rsidRDefault="00000000">
            <w:pPr>
              <w:spacing w:after="0"/>
              <w:jc w:val="left"/>
            </w:pPr>
            <w:r>
              <w:rPr>
                <w:rFonts w:ascii="Arial" w:hAnsi="Arial"/>
                <w:sz w:val="14"/>
              </w:rPr>
              <w:t>FIRST EPSS</w:t>
            </w:r>
          </w:p>
        </w:tc>
        <w:tc>
          <w:tcPr>
            <w:tcW w:w="1584" w:type="dxa"/>
            <w:shd w:val="clear" w:color="auto" w:fill="F4F7FB"/>
            <w:tcMar>
              <w:top w:w="70" w:type="dxa"/>
              <w:left w:w="70" w:type="dxa"/>
              <w:bottom w:w="70" w:type="dxa"/>
              <w:right w:w="70" w:type="dxa"/>
            </w:tcMar>
            <w:vAlign w:val="center"/>
          </w:tcPr>
          <w:p w14:paraId="6308DDAE" w14:textId="77777777" w:rsidR="00BC6C0B" w:rsidRDefault="00000000">
            <w:pPr>
              <w:spacing w:after="0"/>
              <w:jc w:val="left"/>
            </w:pPr>
            <w:r>
              <w:rPr>
                <w:rFonts w:ascii="Arial" w:hAnsi="Arial"/>
                <w:sz w:val="14"/>
              </w:rPr>
              <w:t>Operational, current</w:t>
            </w:r>
          </w:p>
        </w:tc>
        <w:tc>
          <w:tcPr>
            <w:tcW w:w="3240" w:type="dxa"/>
            <w:shd w:val="clear" w:color="auto" w:fill="F4F7FB"/>
            <w:tcMar>
              <w:top w:w="70" w:type="dxa"/>
              <w:left w:w="70" w:type="dxa"/>
              <w:bottom w:w="70" w:type="dxa"/>
              <w:right w:w="70" w:type="dxa"/>
            </w:tcMar>
            <w:vAlign w:val="center"/>
          </w:tcPr>
          <w:p w14:paraId="662D4A5B" w14:textId="77777777" w:rsidR="00BC6C0B" w:rsidRDefault="00000000">
            <w:pPr>
              <w:spacing w:after="0"/>
              <w:jc w:val="left"/>
            </w:pPr>
            <w:r>
              <w:rPr>
                <w:rFonts w:ascii="Arial" w:hAnsi="Arial"/>
                <w:sz w:val="14"/>
              </w:rPr>
              <w:t>ML-based probability of CVE exploitation in the next 30 days.</w:t>
            </w:r>
          </w:p>
        </w:tc>
        <w:tc>
          <w:tcPr>
            <w:tcW w:w="3240" w:type="dxa"/>
            <w:shd w:val="clear" w:color="auto" w:fill="F4F7FB"/>
            <w:tcMar>
              <w:top w:w="70" w:type="dxa"/>
              <w:left w:w="70" w:type="dxa"/>
              <w:bottom w:w="70" w:type="dxa"/>
              <w:right w:w="70" w:type="dxa"/>
            </w:tcMar>
            <w:vAlign w:val="center"/>
          </w:tcPr>
          <w:p w14:paraId="728A5F58" w14:textId="77777777" w:rsidR="00BC6C0B" w:rsidRDefault="00000000">
            <w:pPr>
              <w:spacing w:after="0"/>
              <w:jc w:val="left"/>
            </w:pPr>
            <w:r>
              <w:rPr>
                <w:rFonts w:ascii="Arial" w:hAnsi="Arial"/>
                <w:sz w:val="14"/>
              </w:rPr>
              <w:t>Exploit-likelihood signal; combine with asset context and impact.</w:t>
            </w:r>
          </w:p>
        </w:tc>
      </w:tr>
      <w:tr w:rsidR="00BC6C0B" w14:paraId="406BADA2" w14:textId="77777777">
        <w:trPr>
          <w:cantSplit/>
          <w:jc w:val="center"/>
        </w:trPr>
        <w:tc>
          <w:tcPr>
            <w:tcW w:w="1800" w:type="dxa"/>
            <w:tcMar>
              <w:top w:w="70" w:type="dxa"/>
              <w:left w:w="70" w:type="dxa"/>
              <w:bottom w:w="70" w:type="dxa"/>
              <w:right w:w="70" w:type="dxa"/>
            </w:tcMar>
            <w:vAlign w:val="center"/>
          </w:tcPr>
          <w:p w14:paraId="4DC958CE" w14:textId="77777777" w:rsidR="00BC6C0B" w:rsidRDefault="00000000">
            <w:pPr>
              <w:spacing w:after="0"/>
              <w:jc w:val="left"/>
            </w:pPr>
            <w:r>
              <w:rPr>
                <w:rFonts w:ascii="Arial" w:hAnsi="Arial"/>
                <w:sz w:val="14"/>
              </w:rPr>
              <w:t>CISA KEV Catalog</w:t>
            </w:r>
          </w:p>
        </w:tc>
        <w:tc>
          <w:tcPr>
            <w:tcW w:w="1584" w:type="dxa"/>
            <w:tcMar>
              <w:top w:w="70" w:type="dxa"/>
              <w:left w:w="70" w:type="dxa"/>
              <w:bottom w:w="70" w:type="dxa"/>
              <w:right w:w="70" w:type="dxa"/>
            </w:tcMar>
            <w:vAlign w:val="center"/>
          </w:tcPr>
          <w:p w14:paraId="4060A74F" w14:textId="77777777" w:rsidR="00BC6C0B" w:rsidRDefault="00000000">
            <w:pPr>
              <w:spacing w:after="0"/>
              <w:jc w:val="left"/>
            </w:pPr>
            <w:r>
              <w:rPr>
                <w:rFonts w:ascii="Arial" w:hAnsi="Arial"/>
                <w:sz w:val="14"/>
              </w:rPr>
              <w:t>Continuously updated</w:t>
            </w:r>
          </w:p>
        </w:tc>
        <w:tc>
          <w:tcPr>
            <w:tcW w:w="3240" w:type="dxa"/>
            <w:tcMar>
              <w:top w:w="70" w:type="dxa"/>
              <w:left w:w="70" w:type="dxa"/>
              <w:bottom w:w="70" w:type="dxa"/>
              <w:right w:w="70" w:type="dxa"/>
            </w:tcMar>
            <w:vAlign w:val="center"/>
          </w:tcPr>
          <w:p w14:paraId="56FF5EAF" w14:textId="77777777" w:rsidR="00BC6C0B" w:rsidRDefault="00000000">
            <w:pPr>
              <w:spacing w:after="0"/>
              <w:jc w:val="left"/>
            </w:pPr>
            <w:r>
              <w:rPr>
                <w:rFonts w:ascii="Arial" w:hAnsi="Arial"/>
                <w:sz w:val="14"/>
              </w:rPr>
              <w:t>Authoritative catalog of vulnerabilities known to be exploited in the wild.</w:t>
            </w:r>
          </w:p>
        </w:tc>
        <w:tc>
          <w:tcPr>
            <w:tcW w:w="3240" w:type="dxa"/>
            <w:tcMar>
              <w:top w:w="70" w:type="dxa"/>
              <w:left w:w="70" w:type="dxa"/>
              <w:bottom w:w="70" w:type="dxa"/>
              <w:right w:w="70" w:type="dxa"/>
            </w:tcMar>
            <w:vAlign w:val="center"/>
          </w:tcPr>
          <w:p w14:paraId="1DE04960" w14:textId="77777777" w:rsidR="00BC6C0B" w:rsidRDefault="00000000">
            <w:pPr>
              <w:spacing w:after="0"/>
              <w:jc w:val="left"/>
            </w:pPr>
            <w:r>
              <w:rPr>
                <w:rFonts w:ascii="Arial" w:hAnsi="Arial"/>
                <w:sz w:val="14"/>
              </w:rPr>
              <w:t>High-value prioritization signal for affected environments.</w:t>
            </w:r>
          </w:p>
        </w:tc>
      </w:tr>
      <w:tr w:rsidR="00BC6C0B" w14:paraId="67FB0E63" w14:textId="77777777">
        <w:trPr>
          <w:cantSplit/>
          <w:jc w:val="center"/>
        </w:trPr>
        <w:tc>
          <w:tcPr>
            <w:tcW w:w="1800" w:type="dxa"/>
            <w:shd w:val="clear" w:color="auto" w:fill="F4F7FB"/>
            <w:tcMar>
              <w:top w:w="70" w:type="dxa"/>
              <w:left w:w="70" w:type="dxa"/>
              <w:bottom w:w="70" w:type="dxa"/>
              <w:right w:w="70" w:type="dxa"/>
            </w:tcMar>
            <w:vAlign w:val="center"/>
          </w:tcPr>
          <w:p w14:paraId="7DF0FDCF" w14:textId="77777777" w:rsidR="00BC6C0B" w:rsidRDefault="00000000">
            <w:pPr>
              <w:spacing w:after="0"/>
              <w:jc w:val="left"/>
            </w:pPr>
            <w:r>
              <w:rPr>
                <w:rFonts w:ascii="Arial" w:hAnsi="Arial"/>
                <w:sz w:val="14"/>
              </w:rPr>
              <w:t>NIST AI 600-1</w:t>
            </w:r>
          </w:p>
        </w:tc>
        <w:tc>
          <w:tcPr>
            <w:tcW w:w="1584" w:type="dxa"/>
            <w:shd w:val="clear" w:color="auto" w:fill="F4F7FB"/>
            <w:tcMar>
              <w:top w:w="70" w:type="dxa"/>
              <w:left w:w="70" w:type="dxa"/>
              <w:bottom w:w="70" w:type="dxa"/>
              <w:right w:w="70" w:type="dxa"/>
            </w:tcMar>
            <w:vAlign w:val="center"/>
          </w:tcPr>
          <w:p w14:paraId="2145E5DD" w14:textId="77777777" w:rsidR="00BC6C0B" w:rsidRDefault="00000000">
            <w:pPr>
              <w:spacing w:after="0"/>
              <w:jc w:val="left"/>
            </w:pPr>
            <w:r>
              <w:rPr>
                <w:rFonts w:ascii="Arial" w:hAnsi="Arial"/>
                <w:sz w:val="14"/>
              </w:rPr>
              <w:t>Final, 2024</w:t>
            </w:r>
          </w:p>
        </w:tc>
        <w:tc>
          <w:tcPr>
            <w:tcW w:w="3240" w:type="dxa"/>
            <w:shd w:val="clear" w:color="auto" w:fill="F4F7FB"/>
            <w:tcMar>
              <w:top w:w="70" w:type="dxa"/>
              <w:left w:w="70" w:type="dxa"/>
              <w:bottom w:w="70" w:type="dxa"/>
              <w:right w:w="70" w:type="dxa"/>
            </w:tcMar>
            <w:vAlign w:val="center"/>
          </w:tcPr>
          <w:p w14:paraId="119005E9" w14:textId="77777777" w:rsidR="00BC6C0B" w:rsidRDefault="00000000">
            <w:pPr>
              <w:spacing w:after="0"/>
              <w:jc w:val="left"/>
            </w:pPr>
            <w:r>
              <w:rPr>
                <w:rFonts w:ascii="Arial" w:hAnsi="Arial"/>
                <w:sz w:val="14"/>
              </w:rPr>
              <w:t>Generative-AI risk profile under AI RMF.</w:t>
            </w:r>
          </w:p>
        </w:tc>
        <w:tc>
          <w:tcPr>
            <w:tcW w:w="3240" w:type="dxa"/>
            <w:shd w:val="clear" w:color="auto" w:fill="F4F7FB"/>
            <w:tcMar>
              <w:top w:w="70" w:type="dxa"/>
              <w:left w:w="70" w:type="dxa"/>
              <w:bottom w:w="70" w:type="dxa"/>
              <w:right w:w="70" w:type="dxa"/>
            </w:tcMar>
            <w:vAlign w:val="center"/>
          </w:tcPr>
          <w:p w14:paraId="5D3F7F14" w14:textId="77777777" w:rsidR="00BC6C0B" w:rsidRDefault="00000000">
            <w:pPr>
              <w:spacing w:after="0"/>
              <w:jc w:val="left"/>
            </w:pPr>
            <w:r>
              <w:rPr>
                <w:rFonts w:ascii="Arial" w:hAnsi="Arial"/>
                <w:sz w:val="14"/>
              </w:rPr>
              <w:t>AI risk-management context for security use of generative models.</w:t>
            </w:r>
          </w:p>
        </w:tc>
      </w:tr>
      <w:tr w:rsidR="00BC6C0B" w14:paraId="28AD018F" w14:textId="77777777">
        <w:trPr>
          <w:cantSplit/>
          <w:jc w:val="center"/>
        </w:trPr>
        <w:tc>
          <w:tcPr>
            <w:tcW w:w="1800" w:type="dxa"/>
            <w:tcMar>
              <w:top w:w="70" w:type="dxa"/>
              <w:left w:w="70" w:type="dxa"/>
              <w:bottom w:w="70" w:type="dxa"/>
              <w:right w:w="70" w:type="dxa"/>
            </w:tcMar>
            <w:vAlign w:val="center"/>
          </w:tcPr>
          <w:p w14:paraId="2563C9ED" w14:textId="77777777" w:rsidR="00BC6C0B" w:rsidRDefault="00000000">
            <w:pPr>
              <w:spacing w:after="0"/>
              <w:jc w:val="left"/>
            </w:pPr>
            <w:r>
              <w:rPr>
                <w:rFonts w:ascii="Arial" w:hAnsi="Arial"/>
                <w:sz w:val="14"/>
              </w:rPr>
              <w:t>NIST SP 800-218A</w:t>
            </w:r>
          </w:p>
        </w:tc>
        <w:tc>
          <w:tcPr>
            <w:tcW w:w="1584" w:type="dxa"/>
            <w:tcMar>
              <w:top w:w="70" w:type="dxa"/>
              <w:left w:w="70" w:type="dxa"/>
              <w:bottom w:w="70" w:type="dxa"/>
              <w:right w:w="70" w:type="dxa"/>
            </w:tcMar>
            <w:vAlign w:val="center"/>
          </w:tcPr>
          <w:p w14:paraId="00465A66" w14:textId="77777777" w:rsidR="00BC6C0B" w:rsidRDefault="00000000">
            <w:pPr>
              <w:spacing w:after="0"/>
              <w:jc w:val="left"/>
            </w:pPr>
            <w:r>
              <w:rPr>
                <w:rFonts w:ascii="Arial" w:hAnsi="Arial"/>
                <w:sz w:val="14"/>
              </w:rPr>
              <w:t>Final, 2024</w:t>
            </w:r>
          </w:p>
        </w:tc>
        <w:tc>
          <w:tcPr>
            <w:tcW w:w="3240" w:type="dxa"/>
            <w:tcMar>
              <w:top w:w="70" w:type="dxa"/>
              <w:left w:w="70" w:type="dxa"/>
              <w:bottom w:w="70" w:type="dxa"/>
              <w:right w:w="70" w:type="dxa"/>
            </w:tcMar>
            <w:vAlign w:val="center"/>
          </w:tcPr>
          <w:p w14:paraId="2606B19B" w14:textId="77777777" w:rsidR="00BC6C0B" w:rsidRDefault="00000000">
            <w:pPr>
              <w:spacing w:after="0"/>
              <w:jc w:val="left"/>
            </w:pPr>
            <w:r>
              <w:rPr>
                <w:rFonts w:ascii="Arial" w:hAnsi="Arial"/>
                <w:sz w:val="14"/>
              </w:rPr>
              <w:t>Secure software-development practices for generative AI and dual-use foundation models.</w:t>
            </w:r>
          </w:p>
        </w:tc>
        <w:tc>
          <w:tcPr>
            <w:tcW w:w="3240" w:type="dxa"/>
            <w:tcMar>
              <w:top w:w="70" w:type="dxa"/>
              <w:left w:w="70" w:type="dxa"/>
              <w:bottom w:w="70" w:type="dxa"/>
              <w:right w:w="70" w:type="dxa"/>
            </w:tcMar>
            <w:vAlign w:val="center"/>
          </w:tcPr>
          <w:p w14:paraId="69D843C6" w14:textId="77777777" w:rsidR="00BC6C0B" w:rsidRDefault="00000000">
            <w:pPr>
              <w:spacing w:after="0"/>
              <w:jc w:val="left"/>
            </w:pPr>
            <w:r>
              <w:rPr>
                <w:rFonts w:ascii="Arial" w:hAnsi="Arial"/>
                <w:sz w:val="14"/>
              </w:rPr>
              <w:t>Useful when testing AI products and model-development pipelines.</w:t>
            </w:r>
          </w:p>
        </w:tc>
      </w:tr>
      <w:tr w:rsidR="00BC6C0B" w14:paraId="66903651" w14:textId="77777777">
        <w:trPr>
          <w:cantSplit/>
          <w:jc w:val="center"/>
        </w:trPr>
        <w:tc>
          <w:tcPr>
            <w:tcW w:w="1800" w:type="dxa"/>
            <w:shd w:val="clear" w:color="auto" w:fill="F4F7FB"/>
            <w:tcMar>
              <w:top w:w="70" w:type="dxa"/>
              <w:left w:w="70" w:type="dxa"/>
              <w:bottom w:w="70" w:type="dxa"/>
              <w:right w:w="70" w:type="dxa"/>
            </w:tcMar>
            <w:vAlign w:val="center"/>
          </w:tcPr>
          <w:p w14:paraId="1021A3BE" w14:textId="77777777" w:rsidR="00BC6C0B" w:rsidRDefault="00000000">
            <w:pPr>
              <w:spacing w:after="0"/>
              <w:jc w:val="left"/>
            </w:pPr>
            <w:r>
              <w:rPr>
                <w:rFonts w:ascii="Arial" w:hAnsi="Arial"/>
                <w:sz w:val="14"/>
              </w:rPr>
              <w:t>NIST IR 8596 Cyber AI Profile</w:t>
            </w:r>
          </w:p>
        </w:tc>
        <w:tc>
          <w:tcPr>
            <w:tcW w:w="1584" w:type="dxa"/>
            <w:shd w:val="clear" w:color="auto" w:fill="F4F7FB"/>
            <w:tcMar>
              <w:top w:w="70" w:type="dxa"/>
              <w:left w:w="70" w:type="dxa"/>
              <w:bottom w:w="70" w:type="dxa"/>
              <w:right w:w="70" w:type="dxa"/>
            </w:tcMar>
            <w:vAlign w:val="center"/>
          </w:tcPr>
          <w:p w14:paraId="75936CDD" w14:textId="77777777" w:rsidR="00BC6C0B" w:rsidRDefault="00000000">
            <w:pPr>
              <w:spacing w:after="0"/>
              <w:jc w:val="left"/>
            </w:pPr>
            <w:r>
              <w:rPr>
                <w:rFonts w:ascii="Arial" w:hAnsi="Arial"/>
                <w:sz w:val="14"/>
              </w:rPr>
              <w:t>Preliminary draft, Dec. 2025</w:t>
            </w:r>
          </w:p>
        </w:tc>
        <w:tc>
          <w:tcPr>
            <w:tcW w:w="3240" w:type="dxa"/>
            <w:shd w:val="clear" w:color="auto" w:fill="F4F7FB"/>
            <w:tcMar>
              <w:top w:w="70" w:type="dxa"/>
              <w:left w:w="70" w:type="dxa"/>
              <w:bottom w:w="70" w:type="dxa"/>
              <w:right w:w="70" w:type="dxa"/>
            </w:tcMar>
            <w:vAlign w:val="center"/>
          </w:tcPr>
          <w:p w14:paraId="33C44702" w14:textId="77777777" w:rsidR="00BC6C0B" w:rsidRDefault="00000000">
            <w:pPr>
              <w:spacing w:after="0"/>
              <w:jc w:val="left"/>
            </w:pPr>
            <w:r>
              <w:rPr>
                <w:rFonts w:ascii="Arial" w:hAnsi="Arial"/>
                <w:sz w:val="14"/>
              </w:rPr>
              <w:t>Secure AI, AI-enabled defense and thwarting AI-enabled attacks.</w:t>
            </w:r>
          </w:p>
        </w:tc>
        <w:tc>
          <w:tcPr>
            <w:tcW w:w="3240" w:type="dxa"/>
            <w:shd w:val="clear" w:color="auto" w:fill="F4F7FB"/>
            <w:tcMar>
              <w:top w:w="70" w:type="dxa"/>
              <w:left w:w="70" w:type="dxa"/>
              <w:bottom w:w="70" w:type="dxa"/>
              <w:right w:w="70" w:type="dxa"/>
            </w:tcMar>
            <w:vAlign w:val="center"/>
          </w:tcPr>
          <w:p w14:paraId="0BE4E0C9" w14:textId="77777777" w:rsidR="00BC6C0B" w:rsidRDefault="00000000">
            <w:pPr>
              <w:spacing w:after="0"/>
              <w:jc w:val="left"/>
            </w:pPr>
            <w:r>
              <w:rPr>
                <w:rFonts w:ascii="Arial" w:hAnsi="Arial"/>
                <w:sz w:val="14"/>
              </w:rPr>
              <w:t>Informative only until finalized; do not claim compliance to a draft.</w:t>
            </w:r>
          </w:p>
        </w:tc>
      </w:tr>
      <w:tr w:rsidR="00BC6C0B" w14:paraId="33A42CAE" w14:textId="77777777">
        <w:trPr>
          <w:cantSplit/>
          <w:jc w:val="center"/>
        </w:trPr>
        <w:tc>
          <w:tcPr>
            <w:tcW w:w="1800" w:type="dxa"/>
            <w:tcMar>
              <w:top w:w="70" w:type="dxa"/>
              <w:left w:w="70" w:type="dxa"/>
              <w:bottom w:w="70" w:type="dxa"/>
              <w:right w:w="70" w:type="dxa"/>
            </w:tcMar>
            <w:vAlign w:val="center"/>
          </w:tcPr>
          <w:p w14:paraId="45809D37" w14:textId="77777777" w:rsidR="00BC6C0B" w:rsidRDefault="00000000">
            <w:pPr>
              <w:spacing w:after="0"/>
              <w:jc w:val="left"/>
            </w:pPr>
            <w:r>
              <w:rPr>
                <w:rFonts w:ascii="Arial" w:hAnsi="Arial"/>
                <w:sz w:val="14"/>
              </w:rPr>
              <w:t>NIST SP 1353</w:t>
            </w:r>
          </w:p>
        </w:tc>
        <w:tc>
          <w:tcPr>
            <w:tcW w:w="1584" w:type="dxa"/>
            <w:tcMar>
              <w:top w:w="70" w:type="dxa"/>
              <w:left w:w="70" w:type="dxa"/>
              <w:bottom w:w="70" w:type="dxa"/>
              <w:right w:w="70" w:type="dxa"/>
            </w:tcMar>
            <w:vAlign w:val="center"/>
          </w:tcPr>
          <w:p w14:paraId="721C0E02" w14:textId="77777777" w:rsidR="00BC6C0B" w:rsidRDefault="00000000">
            <w:pPr>
              <w:spacing w:after="0"/>
              <w:jc w:val="left"/>
            </w:pPr>
            <w:r>
              <w:rPr>
                <w:rFonts w:ascii="Arial" w:hAnsi="Arial"/>
                <w:sz w:val="14"/>
              </w:rPr>
              <w:t>Initial public draft, Aug. 2026</w:t>
            </w:r>
          </w:p>
        </w:tc>
        <w:tc>
          <w:tcPr>
            <w:tcW w:w="3240" w:type="dxa"/>
            <w:tcMar>
              <w:top w:w="70" w:type="dxa"/>
              <w:left w:w="70" w:type="dxa"/>
              <w:bottom w:w="70" w:type="dxa"/>
              <w:right w:w="70" w:type="dxa"/>
            </w:tcMar>
            <w:vAlign w:val="center"/>
          </w:tcPr>
          <w:p w14:paraId="39526A6C" w14:textId="77777777" w:rsidR="00BC6C0B" w:rsidRDefault="00000000">
            <w:pPr>
              <w:spacing w:after="0"/>
              <w:jc w:val="left"/>
            </w:pPr>
            <w:r>
              <w:rPr>
                <w:rFonts w:ascii="Arial" w:hAnsi="Arial"/>
                <w:sz w:val="14"/>
              </w:rPr>
              <w:t>Using AI for CSF analysis and reporting.</w:t>
            </w:r>
          </w:p>
        </w:tc>
        <w:tc>
          <w:tcPr>
            <w:tcW w:w="3240" w:type="dxa"/>
            <w:tcMar>
              <w:top w:w="70" w:type="dxa"/>
              <w:left w:w="70" w:type="dxa"/>
              <w:bottom w:w="70" w:type="dxa"/>
              <w:right w:w="70" w:type="dxa"/>
            </w:tcMar>
            <w:vAlign w:val="center"/>
          </w:tcPr>
          <w:p w14:paraId="29C98947" w14:textId="77777777" w:rsidR="00BC6C0B" w:rsidRDefault="00000000">
            <w:pPr>
              <w:spacing w:after="0"/>
              <w:jc w:val="left"/>
            </w:pPr>
            <w:r>
              <w:rPr>
                <w:rFonts w:ascii="Arial" w:hAnsi="Arial"/>
                <w:sz w:val="14"/>
              </w:rPr>
              <w:t>Emerging guidance; informative, not yet normative.</w:t>
            </w:r>
          </w:p>
        </w:tc>
      </w:tr>
    </w:tbl>
    <w:p w14:paraId="3C52D86B" w14:textId="77777777" w:rsidR="00BC6C0B" w:rsidRDefault="00BC6C0B">
      <w:pPr>
        <w:spacing w:after="0"/>
      </w:pPr>
    </w:p>
    <w:p w14:paraId="5145461B" w14:textId="77777777" w:rsidR="00BC6C0B" w:rsidRDefault="00000000">
      <w:pPr>
        <w:pStyle w:val="Heading1"/>
      </w:pPr>
      <w:r>
        <w:t>5. Seven-Layer Fundamental Toolchain</w:t>
      </w:r>
    </w:p>
    <w:p w14:paraId="699F4D5A" w14:textId="77777777" w:rsidR="00BC6C0B" w:rsidRDefault="00000000">
      <w:r>
        <w:t>Tool proficiency remains essential, but the tool is the least durable part of professional competence. Products change, licensing models change and AI assistants increasingly wrap traditional utilities. The durable skill is knowing what evidence is needed, which class of tool can obtain it safely, how to interpret uncertainty and how to connect the observation to a control or risk decision. Figure 1 presents the gated lifecycle; Figure 2 presents the toolchain as layers rather than a shopping list.</w:t>
      </w:r>
    </w:p>
    <w:p w14:paraId="1F6763D8" w14:textId="77777777" w:rsidR="00BC6C0B" w:rsidRDefault="00000000">
      <w:pPr>
        <w:jc w:val="center"/>
      </w:pPr>
      <w:r>
        <w:rPr>
          <w:noProof/>
        </w:rPr>
        <w:drawing>
          <wp:inline distT="0" distB="0" distL="0" distR="0" wp14:anchorId="13490EF7" wp14:editId="74CFCAF5">
            <wp:extent cx="6537960" cy="1425191"/>
            <wp:effectExtent l="0" t="0" r="0" b="0"/>
            <wp:docPr id="1" name="Picture 1"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ifecycle.png"/>
                    <pic:cNvPicPr/>
                  </pic:nvPicPr>
                  <pic:blipFill>
                    <a:blip r:embed="rId8"/>
                    <a:stretch>
                      <a:fillRect/>
                    </a:stretch>
                  </pic:blipFill>
                  <pic:spPr>
                    <a:xfrm>
                      <a:off x="0" y="0"/>
                      <a:ext cx="6537960" cy="1425191"/>
                    </a:xfrm>
                    <a:prstGeom prst="rect">
                      <a:avLst/>
                    </a:prstGeom>
                  </pic:spPr>
                </pic:pic>
              </a:graphicData>
            </a:graphic>
          </wp:inline>
        </w:drawing>
      </w:r>
    </w:p>
    <w:p w14:paraId="5C6E0965" w14:textId="77777777" w:rsidR="00BC6C0B" w:rsidRDefault="00000000">
      <w:pPr>
        <w:pStyle w:val="Caption"/>
        <w:spacing w:before="40" w:after="100"/>
      </w:pPr>
      <w:r>
        <w:rPr>
          <w:color w:val="687386"/>
          <w:sz w:val="17"/>
        </w:rPr>
        <w:t>Figure 1. Gated ethical-hacking lifecycle. Original author synthesis; every intrusive transition requires explicit authorization and evidence controls.</w:t>
      </w:r>
    </w:p>
    <w:p w14:paraId="046B3CD0" w14:textId="77777777" w:rsidR="00BC6C0B" w:rsidRDefault="00000000">
      <w:pPr>
        <w:jc w:val="center"/>
      </w:pPr>
      <w:r>
        <w:rPr>
          <w:noProof/>
        </w:rPr>
        <w:drawing>
          <wp:inline distT="0" distB="0" distL="0" distR="0" wp14:anchorId="62A9FFCE" wp14:editId="2EC763C5">
            <wp:extent cx="6355080" cy="2522980"/>
            <wp:effectExtent l="0" t="0" r="0" b="0"/>
            <wp:docPr id="2" name="Picture 2"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yers.png"/>
                    <pic:cNvPicPr/>
                  </pic:nvPicPr>
                  <pic:blipFill>
                    <a:blip r:embed="rId9"/>
                    <a:stretch>
                      <a:fillRect/>
                    </a:stretch>
                  </pic:blipFill>
                  <pic:spPr>
                    <a:xfrm>
                      <a:off x="0" y="0"/>
                      <a:ext cx="6355080" cy="2522980"/>
                    </a:xfrm>
                    <a:prstGeom prst="rect">
                      <a:avLst/>
                    </a:prstGeom>
                  </pic:spPr>
                </pic:pic>
              </a:graphicData>
            </a:graphic>
          </wp:inline>
        </w:drawing>
      </w:r>
    </w:p>
    <w:p w14:paraId="2108B83A" w14:textId="77777777" w:rsidR="00BC6C0B" w:rsidRDefault="00000000">
      <w:pPr>
        <w:pStyle w:val="Caption"/>
        <w:spacing w:before="40" w:after="100"/>
      </w:pPr>
      <w:r>
        <w:rPr>
          <w:color w:val="687386"/>
          <w:sz w:val="17"/>
        </w:rPr>
        <w:t>Figure 2. Seven-layer toolchain for professional ethical hacking. The base layers govern the upper technical layers rather than the reverse.</w:t>
      </w:r>
    </w:p>
    <w:p w14:paraId="6690598B" w14:textId="77777777" w:rsidR="00BC6C0B" w:rsidRDefault="00000000">
      <w:pPr>
        <w:pStyle w:val="Heading2"/>
      </w:pPr>
      <w:r>
        <w:lastRenderedPageBreak/>
        <w:t>5.1 Lab, virtualization and traffic containment</w:t>
      </w:r>
    </w:p>
    <w:p w14:paraId="4AC8067B" w14:textId="77777777" w:rsidR="00BC6C0B" w:rsidRDefault="00000000">
      <w:r>
        <w:t>A controlled environment is a fundamental ethical-hacking tool. VirtualBox, VMware, Hyper-V, KVM, Docker/Podman and cyber-range platforms can isolate intentionally vulnerable systems, instrument them and restore snapshots. The security objective is not merely convenience: the laboratory provides routing control, synthetic identities, deterministic resets, packet capture, synchronized clocks and a place to test tooling without touching unrelated infrastructure. Network egress should be blocked by default for exercises that do not require the internet, and lab DNS, credentials and datasets should be synthetic wherever possible.</w:t>
      </w:r>
    </w:p>
    <w:p w14:paraId="76AD867B" w14:textId="77777777" w:rsidR="00BC6C0B" w:rsidRDefault="00000000">
      <w:r>
        <w:t>Common training and validation targets include purpose-built vulnerable applications and deliberately insecure virtual machines. Production clones should be sanitized before import. If production data is required for fidelity, it should be minimized, masked and governed under the same retention and access controls as other sensitive assessment evidence.</w:t>
      </w:r>
    </w:p>
    <w:p w14:paraId="7A0D08CD" w14:textId="77777777" w:rsidR="00BC6C0B" w:rsidRDefault="00000000">
      <w:pPr>
        <w:pStyle w:val="Heading2"/>
      </w:pPr>
      <w:r>
        <w:t>5.2 Asset discovery, service enumeration and protocol analysis</w:t>
      </w:r>
    </w:p>
    <w:p w14:paraId="6117A4DF" w14:textId="77777777" w:rsidR="00BC6C0B" w:rsidRDefault="00000000">
      <w:r>
        <w:t>Nmap remains a core network discovery and service-enumeration tool because it combines host discovery, port/service identification and extensible probes. Masscan is useful for very large, explicitly authorized address spaces where high-rate discovery is justified, but it demands stronger rate and scope controls. Amass and similar domain/ASN/certificate tooling support external attack-surface inventory for domains owned or authorized by the organization. Internet intelligence platforms such as Censys or Shodan can provide passive context; their data should be treated as observations requiring validation, not as proof that a service is currently exposed.</w:t>
      </w:r>
    </w:p>
    <w:p w14:paraId="631CD75A" w14:textId="77777777" w:rsidR="00BC6C0B" w:rsidRDefault="00000000">
      <w:r>
        <w:t>Wireshark, tshark and tcpdump are fundamental for packet-level evidence. They support protocol validation, segmentation testing, TLS/DNS/HTTP troubleshooting, authentication-flow analysis and verification that a security test generated the telemetry expected by defenders. Packet capture is also sensitive: captures may contain credentials, session identifiers or personal data, so filters, retention and access controls are part of the test design.</w:t>
      </w:r>
    </w:p>
    <w:p w14:paraId="647E7774" w14:textId="77777777" w:rsidR="00BC6C0B" w:rsidRDefault="00000000">
      <w:pPr>
        <w:pStyle w:val="Heading2"/>
      </w:pPr>
      <w:r>
        <w:t>5.3 Vulnerability discovery and configuration assessment</w:t>
      </w:r>
    </w:p>
    <w:p w14:paraId="62B97C39" w14:textId="77777777" w:rsidR="00BC6C0B" w:rsidRDefault="00000000">
      <w:r>
        <w:t>Enterprise vulnerability management commonly uses authenticated scanners and exposure-management platforms such as Tenable Nessus/Tenable Vulnerability Management, Qualys VMDR, Rapid7 InsightVM and Greenbone/OpenVAS. Authenticated assessment generally produces higher-quality configuration and patch evidence than unauthenticated scanning because the tool can inspect software inventory, local policy and patch state rather than infer solely from remote banners. Lightweight engines such as Nuclei can provide rapid template-driven checks, but template provenance, target scope, request rate and false-positive validation must be controlled.</w:t>
      </w:r>
    </w:p>
    <w:p w14:paraId="00DF83CF" w14:textId="77777777" w:rsidR="00BC6C0B" w:rsidRDefault="00000000">
      <w:r>
        <w:t>A scanner finding is not equivalent to a confirmed vulnerability. Evidence quality should distinguish at least four states: suspected by fingerprint, detected by authenticated condition, validated by non-destructive functional test, and demonstrated impact under an approved proof. This prevents reports from mixing weak indicators and high-confidence findings without qualification.</w:t>
      </w:r>
    </w:p>
    <w:p w14:paraId="19D03B4C" w14:textId="77777777" w:rsidR="00BC6C0B" w:rsidRDefault="00000000">
      <w:pPr>
        <w:pStyle w:val="Heading2"/>
      </w:pPr>
      <w:r>
        <w:t>5.4 Web, API and application-security tooling</w:t>
      </w:r>
    </w:p>
    <w:p w14:paraId="647F94B2" w14:textId="77777777" w:rsidR="00BC6C0B" w:rsidRDefault="00000000">
      <w:r>
        <w:t>Burp Suite and OWASP ZAP are foundational intercepting-proxy platforms for examining HTTP/S requests, sessions, authorization, input handling and application behaviour. mitmproxy can support scripted traffic inspection in controlled environments, while Postman or Insomnia can help construct and replay authorized API calls. Dynamic testing should be paired with application requirements: OWASP WSTG structures test scenarios, while ASVS 5.0.0 provides verification requirements that can be referenced directly in evidence and remediation tickets.</w:t>
      </w:r>
    </w:p>
    <w:p w14:paraId="0D785DF3" w14:textId="77777777" w:rsidR="00BC6C0B" w:rsidRDefault="00000000">
      <w:r>
        <w:t>Modern application testing must go beyond injection. Broken access control, authorization across object and function boundaries, insecure design, session and token handling, misconfiguration, cryptographic choices, supply-chain integrity, logging and exceptional-condition handling all require reasoning about state and business logic. This is one reason AI can help with hypothesis generation but cannot reliably replace a human who understands the intended business process.</w:t>
      </w:r>
    </w:p>
    <w:p w14:paraId="5DB8F703" w14:textId="77777777" w:rsidR="00BC6C0B" w:rsidRDefault="00000000">
      <w:pPr>
        <w:pStyle w:val="Heading2"/>
      </w:pPr>
      <w:r>
        <w:t>5.5 Source, dependency, secret and infrastructure-as-code analysis</w:t>
      </w:r>
    </w:p>
    <w:p w14:paraId="1BE90FB9" w14:textId="77777777" w:rsidR="00BC6C0B" w:rsidRDefault="00000000">
      <w:r>
        <w:t>CodeQL, Semgrep and comparable static-analysis engines can identify source-level security patterns; dependency tools such as Dependabot, Snyk, Trivy, Grype and ecosystem-native scanners can identify vulnerable packages; Syft can build software bills of materials; Gitleaks and TruffleHog can detect exposed secrets; Checkov and related IaC scanners can evaluate cloud templates and policy. These tools support “shift-left” security but still require triage because build context, reachable code, compensating controls and deployment configuration affect real exploitability.</w:t>
      </w:r>
    </w:p>
    <w:p w14:paraId="570CF9AF" w14:textId="77777777" w:rsidR="00BC6C0B" w:rsidRDefault="00000000">
      <w:r>
        <w:t xml:space="preserve">Supply-chain assessment should capture provenance and build integrity as well as CVEs. The OWASP Top 10:2025 category on software supply-chain failures reinforces the need to review dependency pinning, artifact sources, build </w:t>
      </w:r>
      <w:r>
        <w:lastRenderedPageBreak/>
        <w:t>permissions, CI/CD secrets, package integrity, signing/attestation where used, and the organization’s process for replacing compromised or abandoned components.</w:t>
      </w:r>
    </w:p>
    <w:p w14:paraId="27D3815F" w14:textId="77777777" w:rsidR="00BC6C0B" w:rsidRDefault="00000000">
      <w:pPr>
        <w:pStyle w:val="Heading2"/>
      </w:pPr>
      <w:r>
        <w:t>5.6 Cloud, container, Kubernetes and identity assessment</w:t>
      </w:r>
    </w:p>
    <w:p w14:paraId="7816E855" w14:textId="77777777" w:rsidR="00BC6C0B" w:rsidRDefault="00000000">
      <w:r>
        <w:t>Cloud security testing is primarily an authorization and identity problem. Tools such as Prowler, ScoutSuite and Steampipe can review cloud configuration; Trivy can inspect container images and Kubernetes/IaC artifacts; kube-bench and kubeaudit can evaluate Kubernetes security posture; CSP-native security services provide additional evidence. Assessors should focus on effective permissions, trust policies, workload identities, public exposure, encryption/key management, logging, network boundaries, secret handling and cross-account access rather than only searching for open storage.</w:t>
      </w:r>
    </w:p>
    <w:p w14:paraId="21DC0861" w14:textId="77777777" w:rsidR="00BC6C0B" w:rsidRDefault="00000000">
      <w:r>
        <w:t>Identity systems often determine blast radius. BloodHound is widely used to model relationships and privilege paths in Microsoft Active Directory and related identity environments. Defensive assessment may also use directory configuration analyzers and identity-provider logs. The safe objective is to identify dangerous trust relationships, privilege concentration, stale access and control gaps, not to maximize credential acquisition. Password-audit tools such as Hashcat or John the Ripper should be restricted to explicitly authorized offline audit datasets or synthetic hashes, with findings reported as policy/control weaknesses rather than publishing recovered secrets.</w:t>
      </w:r>
    </w:p>
    <w:p w14:paraId="113A42B0" w14:textId="77777777" w:rsidR="00BC6C0B" w:rsidRDefault="00000000">
      <w:pPr>
        <w:pStyle w:val="Heading2"/>
      </w:pPr>
      <w:r>
        <w:t>5.7 Controlled exploit validation, emulation and reverse engineering</w:t>
      </w:r>
    </w:p>
    <w:p w14:paraId="031D1E6D" w14:textId="77777777" w:rsidR="00BC6C0B" w:rsidRDefault="00000000">
      <w:r>
        <w:t>Metasploit Framework is a common controlled-exploit validation platform in labs and authorized tests. Its professional value is the repeatability of modules and evidence, not the breadth of payloads. A mature procedure uses the least-impact validation needed to establish exploitability, captures telemetry, records exact tool/module versions and stops once the agreed proof is achieved. Persistence, destructive actions and lateral movement are separate permissions, never implied by permission to “exploit.”</w:t>
      </w:r>
    </w:p>
    <w:p w14:paraId="0F24EFD3" w14:textId="77777777" w:rsidR="00BC6C0B" w:rsidRDefault="00000000">
      <w:r>
        <w:t>MITRE CALDERA and Atomic Red Team can support adversary-emulation and detection validation when used in isolated or explicitly authorized environments. Ghidra, Cutter/radare2, YARA, REMnux and FLARE-VM support reverse engineering and malware-analysis workflows. These tools are particularly valuable when a security team needs to understand suspicious artifacts, confirm detection coverage or reproduce a vendor advisory without executing unknown code on production endpoints.</w:t>
      </w:r>
    </w:p>
    <w:p w14:paraId="17113C49" w14:textId="77777777" w:rsidR="00BC6C0B" w:rsidRDefault="00000000">
      <w:pPr>
        <w:pStyle w:val="Heading2"/>
      </w:pPr>
      <w:r>
        <w:t>5.8 Detection, forensics and evidence tooling</w:t>
      </w:r>
    </w:p>
    <w:p w14:paraId="0B4283B4" w14:textId="77777777" w:rsidR="00BC6C0B" w:rsidRDefault="00000000">
      <w:r>
        <w:t>Ethical hacking should produce blue-team evidence. Sysmon, osquery, Velociraptor, Sigma, YARA, OpenSearch/Elastic, Splunk, Microsoft Sentinel and other SIEM/EDR platforms can be used to verify what the assessment generated and whether detections fired as intended. Time synchronization is critical: an otherwise successful test may be unusable for detection engineering if host, network, identity and application timestamps cannot be correlated.</w:t>
      </w:r>
    </w:p>
    <w:p w14:paraId="11C3594D" w14:textId="77777777" w:rsidR="00BC6C0B" w:rsidRDefault="00000000">
      <w:r>
        <w:t>Evidence should be captured in a reproducible case structure: target identifier; authorization reference; date/time with timezone; assessor and source system; tool and version; configuration or test identifier; raw observation; interpretation; confidence; affected control; risk statement; remediation; and retest result. Screenshots are useful supporting artifacts but are weak primary evidence when machine-readable logs, request/response captures or configuration exports are available.</w:t>
      </w:r>
    </w:p>
    <w:p w14:paraId="0E458856" w14:textId="77777777" w:rsidR="00BC6C0B" w:rsidRDefault="00000000">
      <w:pPr>
        <w:pStyle w:val="Caption"/>
        <w:spacing w:before="40" w:after="100"/>
      </w:pPr>
      <w:r>
        <w:rPr>
          <w:color w:val="687386"/>
          <w:sz w:val="17"/>
        </w:rPr>
        <w:t>Table 2. Tool categories, representative platforms, primary evidence and principal safety constraints.</w:t>
      </w:r>
    </w:p>
    <w:tbl>
      <w:tblPr>
        <w:tblStyle w:val="TableGrid"/>
        <w:tblW w:w="0" w:type="auto"/>
        <w:jc w:val="center"/>
        <w:tblLook w:val="04A0" w:firstRow="1" w:lastRow="0" w:firstColumn="1" w:lastColumn="0" w:noHBand="0" w:noVBand="1"/>
      </w:tblPr>
      <w:tblGrid>
        <w:gridCol w:w="1631"/>
        <w:gridCol w:w="2734"/>
        <w:gridCol w:w="2564"/>
        <w:gridCol w:w="3070"/>
      </w:tblGrid>
      <w:tr w:rsidR="00BC6C0B" w14:paraId="3A8DB51A" w14:textId="77777777">
        <w:trPr>
          <w:cantSplit/>
          <w:tblHeader/>
          <w:jc w:val="center"/>
        </w:trPr>
        <w:tc>
          <w:tcPr>
            <w:tcW w:w="1656" w:type="dxa"/>
            <w:shd w:val="clear" w:color="auto" w:fill="0C2A5B"/>
            <w:tcMar>
              <w:top w:w="70" w:type="dxa"/>
              <w:left w:w="70" w:type="dxa"/>
              <w:bottom w:w="70" w:type="dxa"/>
              <w:right w:w="70" w:type="dxa"/>
            </w:tcMar>
            <w:vAlign w:val="center"/>
          </w:tcPr>
          <w:p w14:paraId="1C8C08E9" w14:textId="77777777" w:rsidR="00BC6C0B" w:rsidRDefault="00000000">
            <w:pPr>
              <w:spacing w:after="0"/>
            </w:pPr>
            <w:r>
              <w:rPr>
                <w:rFonts w:ascii="Arial" w:hAnsi="Arial"/>
                <w:b/>
                <w:color w:val="FFFFFF"/>
                <w:sz w:val="15"/>
              </w:rPr>
              <w:t>Function</w:t>
            </w:r>
          </w:p>
        </w:tc>
        <w:tc>
          <w:tcPr>
            <w:tcW w:w="2880" w:type="dxa"/>
            <w:shd w:val="clear" w:color="auto" w:fill="0C2A5B"/>
            <w:tcMar>
              <w:top w:w="70" w:type="dxa"/>
              <w:left w:w="70" w:type="dxa"/>
              <w:bottom w:w="70" w:type="dxa"/>
              <w:right w:w="70" w:type="dxa"/>
            </w:tcMar>
            <w:vAlign w:val="center"/>
          </w:tcPr>
          <w:p w14:paraId="433E98ED" w14:textId="77777777" w:rsidR="00BC6C0B" w:rsidRDefault="00000000">
            <w:pPr>
              <w:spacing w:after="0"/>
            </w:pPr>
            <w:r>
              <w:rPr>
                <w:rFonts w:ascii="Arial" w:hAnsi="Arial"/>
                <w:b/>
                <w:color w:val="FFFFFF"/>
                <w:sz w:val="15"/>
              </w:rPr>
              <w:t>Representative tools</w:t>
            </w:r>
          </w:p>
        </w:tc>
        <w:tc>
          <w:tcPr>
            <w:tcW w:w="2664" w:type="dxa"/>
            <w:shd w:val="clear" w:color="auto" w:fill="0C2A5B"/>
            <w:tcMar>
              <w:top w:w="70" w:type="dxa"/>
              <w:left w:w="70" w:type="dxa"/>
              <w:bottom w:w="70" w:type="dxa"/>
              <w:right w:w="70" w:type="dxa"/>
            </w:tcMar>
            <w:vAlign w:val="center"/>
          </w:tcPr>
          <w:p w14:paraId="537DA479" w14:textId="77777777" w:rsidR="00BC6C0B" w:rsidRDefault="00000000">
            <w:pPr>
              <w:spacing w:after="0"/>
            </w:pPr>
            <w:r>
              <w:rPr>
                <w:rFonts w:ascii="Arial" w:hAnsi="Arial"/>
                <w:b/>
                <w:color w:val="FFFFFF"/>
                <w:sz w:val="15"/>
              </w:rPr>
              <w:t>Primary evidence</w:t>
            </w:r>
          </w:p>
        </w:tc>
        <w:tc>
          <w:tcPr>
            <w:tcW w:w="3240" w:type="dxa"/>
            <w:shd w:val="clear" w:color="auto" w:fill="0C2A5B"/>
            <w:tcMar>
              <w:top w:w="70" w:type="dxa"/>
              <w:left w:w="70" w:type="dxa"/>
              <w:bottom w:w="70" w:type="dxa"/>
              <w:right w:w="70" w:type="dxa"/>
            </w:tcMar>
            <w:vAlign w:val="center"/>
          </w:tcPr>
          <w:p w14:paraId="161B90C6" w14:textId="77777777" w:rsidR="00BC6C0B" w:rsidRDefault="00000000">
            <w:pPr>
              <w:spacing w:after="0"/>
            </w:pPr>
            <w:r>
              <w:rPr>
                <w:rFonts w:ascii="Arial" w:hAnsi="Arial"/>
                <w:b/>
                <w:color w:val="FFFFFF"/>
                <w:sz w:val="15"/>
              </w:rPr>
              <w:t>Principal constraint</w:t>
            </w:r>
          </w:p>
        </w:tc>
      </w:tr>
      <w:tr w:rsidR="00BC6C0B" w14:paraId="3E63952D" w14:textId="77777777">
        <w:trPr>
          <w:cantSplit/>
          <w:jc w:val="center"/>
        </w:trPr>
        <w:tc>
          <w:tcPr>
            <w:tcW w:w="1656" w:type="dxa"/>
            <w:tcMar>
              <w:top w:w="70" w:type="dxa"/>
              <w:left w:w="70" w:type="dxa"/>
              <w:bottom w:w="70" w:type="dxa"/>
              <w:right w:w="70" w:type="dxa"/>
            </w:tcMar>
            <w:vAlign w:val="center"/>
          </w:tcPr>
          <w:p w14:paraId="6969709F" w14:textId="77777777" w:rsidR="00BC6C0B" w:rsidRDefault="00000000">
            <w:pPr>
              <w:spacing w:after="0"/>
              <w:jc w:val="left"/>
            </w:pPr>
            <w:r>
              <w:rPr>
                <w:rFonts w:ascii="Arial" w:hAnsi="Arial"/>
                <w:sz w:val="15"/>
              </w:rPr>
              <w:t>Lab / isolation</w:t>
            </w:r>
          </w:p>
        </w:tc>
        <w:tc>
          <w:tcPr>
            <w:tcW w:w="2880" w:type="dxa"/>
            <w:tcMar>
              <w:top w:w="70" w:type="dxa"/>
              <w:left w:w="70" w:type="dxa"/>
              <w:bottom w:w="70" w:type="dxa"/>
              <w:right w:w="70" w:type="dxa"/>
            </w:tcMar>
            <w:vAlign w:val="center"/>
          </w:tcPr>
          <w:p w14:paraId="0D127D39" w14:textId="77777777" w:rsidR="00BC6C0B" w:rsidRDefault="00000000">
            <w:pPr>
              <w:spacing w:after="0"/>
              <w:jc w:val="left"/>
            </w:pPr>
            <w:r>
              <w:rPr>
                <w:rFonts w:ascii="Arial" w:hAnsi="Arial"/>
                <w:sz w:val="15"/>
              </w:rPr>
              <w:t>VirtualBox, VMware, KVM, Docker/Podman, cyber ranges</w:t>
            </w:r>
          </w:p>
        </w:tc>
        <w:tc>
          <w:tcPr>
            <w:tcW w:w="2664" w:type="dxa"/>
            <w:tcMar>
              <w:top w:w="70" w:type="dxa"/>
              <w:left w:w="70" w:type="dxa"/>
              <w:bottom w:w="70" w:type="dxa"/>
              <w:right w:w="70" w:type="dxa"/>
            </w:tcMar>
            <w:vAlign w:val="center"/>
          </w:tcPr>
          <w:p w14:paraId="195AB80B" w14:textId="77777777" w:rsidR="00BC6C0B" w:rsidRDefault="00000000">
            <w:pPr>
              <w:spacing w:after="0"/>
              <w:jc w:val="left"/>
            </w:pPr>
            <w:r>
              <w:rPr>
                <w:rFonts w:ascii="Arial" w:hAnsi="Arial"/>
                <w:sz w:val="15"/>
              </w:rPr>
              <w:t>Snapshots, topology, test telemetry</w:t>
            </w:r>
          </w:p>
        </w:tc>
        <w:tc>
          <w:tcPr>
            <w:tcW w:w="3240" w:type="dxa"/>
            <w:tcMar>
              <w:top w:w="70" w:type="dxa"/>
              <w:left w:w="70" w:type="dxa"/>
              <w:bottom w:w="70" w:type="dxa"/>
              <w:right w:w="70" w:type="dxa"/>
            </w:tcMar>
            <w:vAlign w:val="center"/>
          </w:tcPr>
          <w:p w14:paraId="48534AA6" w14:textId="77777777" w:rsidR="00BC6C0B" w:rsidRDefault="00000000">
            <w:pPr>
              <w:spacing w:after="0"/>
              <w:jc w:val="left"/>
            </w:pPr>
            <w:r>
              <w:rPr>
                <w:rFonts w:ascii="Arial" w:hAnsi="Arial"/>
                <w:sz w:val="15"/>
              </w:rPr>
              <w:t>No unintended egress; synthetic identities; resettable state.</w:t>
            </w:r>
          </w:p>
        </w:tc>
      </w:tr>
      <w:tr w:rsidR="00BC6C0B" w14:paraId="7F3E60F5" w14:textId="77777777">
        <w:trPr>
          <w:cantSplit/>
          <w:jc w:val="center"/>
        </w:trPr>
        <w:tc>
          <w:tcPr>
            <w:tcW w:w="1656" w:type="dxa"/>
            <w:shd w:val="clear" w:color="auto" w:fill="F4F7FB"/>
            <w:tcMar>
              <w:top w:w="70" w:type="dxa"/>
              <w:left w:w="70" w:type="dxa"/>
              <w:bottom w:w="70" w:type="dxa"/>
              <w:right w:w="70" w:type="dxa"/>
            </w:tcMar>
            <w:vAlign w:val="center"/>
          </w:tcPr>
          <w:p w14:paraId="0D5EB525" w14:textId="77777777" w:rsidR="00BC6C0B" w:rsidRDefault="00000000">
            <w:pPr>
              <w:spacing w:after="0"/>
              <w:jc w:val="left"/>
            </w:pPr>
            <w:r>
              <w:rPr>
                <w:rFonts w:ascii="Arial" w:hAnsi="Arial"/>
                <w:sz w:val="15"/>
              </w:rPr>
              <w:t>Network discovery</w:t>
            </w:r>
          </w:p>
        </w:tc>
        <w:tc>
          <w:tcPr>
            <w:tcW w:w="2880" w:type="dxa"/>
            <w:shd w:val="clear" w:color="auto" w:fill="F4F7FB"/>
            <w:tcMar>
              <w:top w:w="70" w:type="dxa"/>
              <w:left w:w="70" w:type="dxa"/>
              <w:bottom w:w="70" w:type="dxa"/>
              <w:right w:w="70" w:type="dxa"/>
            </w:tcMar>
            <w:vAlign w:val="center"/>
          </w:tcPr>
          <w:p w14:paraId="0557FF19" w14:textId="77777777" w:rsidR="00BC6C0B" w:rsidRDefault="00000000">
            <w:pPr>
              <w:spacing w:after="0"/>
              <w:jc w:val="left"/>
            </w:pPr>
            <w:r>
              <w:rPr>
                <w:rFonts w:ascii="Arial" w:hAnsi="Arial"/>
                <w:sz w:val="15"/>
              </w:rPr>
              <w:t>Nmap; controlled large-scale scanners</w:t>
            </w:r>
          </w:p>
        </w:tc>
        <w:tc>
          <w:tcPr>
            <w:tcW w:w="2664" w:type="dxa"/>
            <w:shd w:val="clear" w:color="auto" w:fill="F4F7FB"/>
            <w:tcMar>
              <w:top w:w="70" w:type="dxa"/>
              <w:left w:w="70" w:type="dxa"/>
              <w:bottom w:w="70" w:type="dxa"/>
              <w:right w:w="70" w:type="dxa"/>
            </w:tcMar>
            <w:vAlign w:val="center"/>
          </w:tcPr>
          <w:p w14:paraId="1BE20D78" w14:textId="77777777" w:rsidR="00BC6C0B" w:rsidRDefault="00000000">
            <w:pPr>
              <w:spacing w:after="0"/>
              <w:jc w:val="left"/>
            </w:pPr>
            <w:r>
              <w:rPr>
                <w:rFonts w:ascii="Arial" w:hAnsi="Arial"/>
                <w:sz w:val="15"/>
              </w:rPr>
              <w:t>Host/service inventory, banners, reachability</w:t>
            </w:r>
          </w:p>
        </w:tc>
        <w:tc>
          <w:tcPr>
            <w:tcW w:w="3240" w:type="dxa"/>
            <w:shd w:val="clear" w:color="auto" w:fill="F4F7FB"/>
            <w:tcMar>
              <w:top w:w="70" w:type="dxa"/>
              <w:left w:w="70" w:type="dxa"/>
              <w:bottom w:w="70" w:type="dxa"/>
              <w:right w:w="70" w:type="dxa"/>
            </w:tcMar>
            <w:vAlign w:val="center"/>
          </w:tcPr>
          <w:p w14:paraId="4A2B6E97" w14:textId="77777777" w:rsidR="00BC6C0B" w:rsidRDefault="00000000">
            <w:pPr>
              <w:spacing w:after="0"/>
              <w:jc w:val="left"/>
            </w:pPr>
            <w:r>
              <w:rPr>
                <w:rFonts w:ascii="Arial" w:hAnsi="Arial"/>
                <w:sz w:val="15"/>
              </w:rPr>
              <w:t>Written ranges; rate limits; no third-party space.</w:t>
            </w:r>
          </w:p>
        </w:tc>
      </w:tr>
      <w:tr w:rsidR="00BC6C0B" w14:paraId="6C0BDF2E" w14:textId="77777777">
        <w:trPr>
          <w:cantSplit/>
          <w:jc w:val="center"/>
        </w:trPr>
        <w:tc>
          <w:tcPr>
            <w:tcW w:w="1656" w:type="dxa"/>
            <w:tcMar>
              <w:top w:w="70" w:type="dxa"/>
              <w:left w:w="70" w:type="dxa"/>
              <w:bottom w:w="70" w:type="dxa"/>
              <w:right w:w="70" w:type="dxa"/>
            </w:tcMar>
            <w:vAlign w:val="center"/>
          </w:tcPr>
          <w:p w14:paraId="171A897F" w14:textId="77777777" w:rsidR="00BC6C0B" w:rsidRDefault="00000000">
            <w:pPr>
              <w:spacing w:after="0"/>
              <w:jc w:val="left"/>
            </w:pPr>
            <w:r>
              <w:rPr>
                <w:rFonts w:ascii="Arial" w:hAnsi="Arial"/>
                <w:sz w:val="15"/>
              </w:rPr>
              <w:t>Packet/protocol</w:t>
            </w:r>
          </w:p>
        </w:tc>
        <w:tc>
          <w:tcPr>
            <w:tcW w:w="2880" w:type="dxa"/>
            <w:tcMar>
              <w:top w:w="70" w:type="dxa"/>
              <w:left w:w="70" w:type="dxa"/>
              <w:bottom w:w="70" w:type="dxa"/>
              <w:right w:w="70" w:type="dxa"/>
            </w:tcMar>
            <w:vAlign w:val="center"/>
          </w:tcPr>
          <w:p w14:paraId="70199597" w14:textId="77777777" w:rsidR="00BC6C0B" w:rsidRDefault="00000000">
            <w:pPr>
              <w:spacing w:after="0"/>
              <w:jc w:val="left"/>
            </w:pPr>
            <w:r>
              <w:rPr>
                <w:rFonts w:ascii="Arial" w:hAnsi="Arial"/>
                <w:sz w:val="15"/>
              </w:rPr>
              <w:t>Wireshark, tshark, tcpdump</w:t>
            </w:r>
          </w:p>
        </w:tc>
        <w:tc>
          <w:tcPr>
            <w:tcW w:w="2664" w:type="dxa"/>
            <w:tcMar>
              <w:top w:w="70" w:type="dxa"/>
              <w:left w:w="70" w:type="dxa"/>
              <w:bottom w:w="70" w:type="dxa"/>
              <w:right w:w="70" w:type="dxa"/>
            </w:tcMar>
            <w:vAlign w:val="center"/>
          </w:tcPr>
          <w:p w14:paraId="208CB47F" w14:textId="77777777" w:rsidR="00BC6C0B" w:rsidRDefault="00000000">
            <w:pPr>
              <w:spacing w:after="0"/>
              <w:jc w:val="left"/>
            </w:pPr>
            <w:r>
              <w:rPr>
                <w:rFonts w:ascii="Arial" w:hAnsi="Arial"/>
                <w:sz w:val="15"/>
              </w:rPr>
              <w:t>PCAP, protocol state, TLS/DNS/HTTP evidence</w:t>
            </w:r>
          </w:p>
        </w:tc>
        <w:tc>
          <w:tcPr>
            <w:tcW w:w="3240" w:type="dxa"/>
            <w:tcMar>
              <w:top w:w="70" w:type="dxa"/>
              <w:left w:w="70" w:type="dxa"/>
              <w:bottom w:w="70" w:type="dxa"/>
              <w:right w:w="70" w:type="dxa"/>
            </w:tcMar>
            <w:vAlign w:val="center"/>
          </w:tcPr>
          <w:p w14:paraId="50F542AE" w14:textId="77777777" w:rsidR="00BC6C0B" w:rsidRDefault="00000000">
            <w:pPr>
              <w:spacing w:after="0"/>
              <w:jc w:val="left"/>
            </w:pPr>
            <w:r>
              <w:rPr>
                <w:rFonts w:ascii="Arial" w:hAnsi="Arial"/>
                <w:sz w:val="15"/>
              </w:rPr>
              <w:t>Captures may contain secrets/PII; minimize and protect.</w:t>
            </w:r>
          </w:p>
        </w:tc>
      </w:tr>
      <w:tr w:rsidR="00BC6C0B" w14:paraId="4B3F4724" w14:textId="77777777">
        <w:trPr>
          <w:cantSplit/>
          <w:jc w:val="center"/>
        </w:trPr>
        <w:tc>
          <w:tcPr>
            <w:tcW w:w="1656" w:type="dxa"/>
            <w:shd w:val="clear" w:color="auto" w:fill="F4F7FB"/>
            <w:tcMar>
              <w:top w:w="70" w:type="dxa"/>
              <w:left w:w="70" w:type="dxa"/>
              <w:bottom w:w="70" w:type="dxa"/>
              <w:right w:w="70" w:type="dxa"/>
            </w:tcMar>
            <w:vAlign w:val="center"/>
          </w:tcPr>
          <w:p w14:paraId="1E7DDCFA" w14:textId="77777777" w:rsidR="00BC6C0B" w:rsidRDefault="00000000">
            <w:pPr>
              <w:spacing w:after="0"/>
              <w:jc w:val="left"/>
            </w:pPr>
            <w:r>
              <w:rPr>
                <w:rFonts w:ascii="Arial" w:hAnsi="Arial"/>
                <w:sz w:val="15"/>
              </w:rPr>
              <w:t>Vulnerability management</w:t>
            </w:r>
          </w:p>
        </w:tc>
        <w:tc>
          <w:tcPr>
            <w:tcW w:w="2880" w:type="dxa"/>
            <w:shd w:val="clear" w:color="auto" w:fill="F4F7FB"/>
            <w:tcMar>
              <w:top w:w="70" w:type="dxa"/>
              <w:left w:w="70" w:type="dxa"/>
              <w:bottom w:w="70" w:type="dxa"/>
              <w:right w:w="70" w:type="dxa"/>
            </w:tcMar>
            <w:vAlign w:val="center"/>
          </w:tcPr>
          <w:p w14:paraId="5D9320A2" w14:textId="77777777" w:rsidR="00BC6C0B" w:rsidRDefault="00000000">
            <w:pPr>
              <w:spacing w:after="0"/>
              <w:jc w:val="left"/>
            </w:pPr>
            <w:r>
              <w:rPr>
                <w:rFonts w:ascii="Arial" w:hAnsi="Arial"/>
                <w:sz w:val="15"/>
              </w:rPr>
              <w:t>Tenable, Qualys, Rapid7, Greenbone; Nuclei</w:t>
            </w:r>
          </w:p>
        </w:tc>
        <w:tc>
          <w:tcPr>
            <w:tcW w:w="2664" w:type="dxa"/>
            <w:shd w:val="clear" w:color="auto" w:fill="F4F7FB"/>
            <w:tcMar>
              <w:top w:w="70" w:type="dxa"/>
              <w:left w:w="70" w:type="dxa"/>
              <w:bottom w:w="70" w:type="dxa"/>
              <w:right w:w="70" w:type="dxa"/>
            </w:tcMar>
            <w:vAlign w:val="center"/>
          </w:tcPr>
          <w:p w14:paraId="7057E16E" w14:textId="77777777" w:rsidR="00BC6C0B" w:rsidRDefault="00000000">
            <w:pPr>
              <w:spacing w:after="0"/>
              <w:jc w:val="left"/>
            </w:pPr>
            <w:r>
              <w:rPr>
                <w:rFonts w:ascii="Arial" w:hAnsi="Arial"/>
                <w:sz w:val="15"/>
              </w:rPr>
              <w:t>Authenticated findings, patch/config evidence</w:t>
            </w:r>
          </w:p>
        </w:tc>
        <w:tc>
          <w:tcPr>
            <w:tcW w:w="3240" w:type="dxa"/>
            <w:shd w:val="clear" w:color="auto" w:fill="F4F7FB"/>
            <w:tcMar>
              <w:top w:w="70" w:type="dxa"/>
              <w:left w:w="70" w:type="dxa"/>
              <w:bottom w:w="70" w:type="dxa"/>
              <w:right w:w="70" w:type="dxa"/>
            </w:tcMar>
            <w:vAlign w:val="center"/>
          </w:tcPr>
          <w:p w14:paraId="76703F74" w14:textId="77777777" w:rsidR="00BC6C0B" w:rsidRDefault="00000000">
            <w:pPr>
              <w:spacing w:after="0"/>
              <w:jc w:val="left"/>
            </w:pPr>
            <w:r>
              <w:rPr>
                <w:rFonts w:ascii="Arial" w:hAnsi="Arial"/>
                <w:sz w:val="15"/>
              </w:rPr>
              <w:t>Validate false positives; template/version provenance.</w:t>
            </w:r>
          </w:p>
        </w:tc>
      </w:tr>
      <w:tr w:rsidR="00BC6C0B" w14:paraId="47E5C478" w14:textId="77777777">
        <w:trPr>
          <w:cantSplit/>
          <w:jc w:val="center"/>
        </w:trPr>
        <w:tc>
          <w:tcPr>
            <w:tcW w:w="1656" w:type="dxa"/>
            <w:tcMar>
              <w:top w:w="70" w:type="dxa"/>
              <w:left w:w="70" w:type="dxa"/>
              <w:bottom w:w="70" w:type="dxa"/>
              <w:right w:w="70" w:type="dxa"/>
            </w:tcMar>
            <w:vAlign w:val="center"/>
          </w:tcPr>
          <w:p w14:paraId="55990F9C" w14:textId="77777777" w:rsidR="00BC6C0B" w:rsidRDefault="00000000">
            <w:pPr>
              <w:spacing w:after="0"/>
              <w:jc w:val="left"/>
            </w:pPr>
            <w:r>
              <w:rPr>
                <w:rFonts w:ascii="Arial" w:hAnsi="Arial"/>
                <w:sz w:val="15"/>
              </w:rPr>
              <w:t>Web/API</w:t>
            </w:r>
          </w:p>
        </w:tc>
        <w:tc>
          <w:tcPr>
            <w:tcW w:w="2880" w:type="dxa"/>
            <w:tcMar>
              <w:top w:w="70" w:type="dxa"/>
              <w:left w:w="70" w:type="dxa"/>
              <w:bottom w:w="70" w:type="dxa"/>
              <w:right w:w="70" w:type="dxa"/>
            </w:tcMar>
            <w:vAlign w:val="center"/>
          </w:tcPr>
          <w:p w14:paraId="6BF8C436" w14:textId="77777777" w:rsidR="00BC6C0B" w:rsidRDefault="00000000">
            <w:pPr>
              <w:spacing w:after="0"/>
              <w:jc w:val="left"/>
            </w:pPr>
            <w:r>
              <w:rPr>
                <w:rFonts w:ascii="Arial" w:hAnsi="Arial"/>
                <w:sz w:val="15"/>
              </w:rPr>
              <w:t>Burp Suite, OWASP ZAP, mitmproxy, API clients</w:t>
            </w:r>
          </w:p>
        </w:tc>
        <w:tc>
          <w:tcPr>
            <w:tcW w:w="2664" w:type="dxa"/>
            <w:tcMar>
              <w:top w:w="70" w:type="dxa"/>
              <w:left w:w="70" w:type="dxa"/>
              <w:bottom w:w="70" w:type="dxa"/>
              <w:right w:w="70" w:type="dxa"/>
            </w:tcMar>
            <w:vAlign w:val="center"/>
          </w:tcPr>
          <w:p w14:paraId="418C4514" w14:textId="77777777" w:rsidR="00BC6C0B" w:rsidRDefault="00000000">
            <w:pPr>
              <w:spacing w:after="0"/>
              <w:jc w:val="left"/>
            </w:pPr>
            <w:r>
              <w:rPr>
                <w:rFonts w:ascii="Arial" w:hAnsi="Arial"/>
                <w:sz w:val="15"/>
              </w:rPr>
              <w:t>Requests/responses, authz/session evidence</w:t>
            </w:r>
          </w:p>
        </w:tc>
        <w:tc>
          <w:tcPr>
            <w:tcW w:w="3240" w:type="dxa"/>
            <w:tcMar>
              <w:top w:w="70" w:type="dxa"/>
              <w:left w:w="70" w:type="dxa"/>
              <w:bottom w:w="70" w:type="dxa"/>
              <w:right w:w="70" w:type="dxa"/>
            </w:tcMar>
            <w:vAlign w:val="center"/>
          </w:tcPr>
          <w:p w14:paraId="3D42D4AD" w14:textId="77777777" w:rsidR="00BC6C0B" w:rsidRDefault="00000000">
            <w:pPr>
              <w:spacing w:after="0"/>
              <w:jc w:val="left"/>
            </w:pPr>
            <w:r>
              <w:rPr>
                <w:rFonts w:ascii="Arial" w:hAnsi="Arial"/>
                <w:sz w:val="15"/>
              </w:rPr>
              <w:t>Test accounts; request-rate control; business-data minimization.</w:t>
            </w:r>
          </w:p>
        </w:tc>
      </w:tr>
      <w:tr w:rsidR="00BC6C0B" w14:paraId="286A28B6" w14:textId="77777777">
        <w:trPr>
          <w:cantSplit/>
          <w:jc w:val="center"/>
        </w:trPr>
        <w:tc>
          <w:tcPr>
            <w:tcW w:w="1656" w:type="dxa"/>
            <w:shd w:val="clear" w:color="auto" w:fill="F4F7FB"/>
            <w:tcMar>
              <w:top w:w="70" w:type="dxa"/>
              <w:left w:w="70" w:type="dxa"/>
              <w:bottom w:w="70" w:type="dxa"/>
              <w:right w:w="70" w:type="dxa"/>
            </w:tcMar>
            <w:vAlign w:val="center"/>
          </w:tcPr>
          <w:p w14:paraId="54AEFE58" w14:textId="77777777" w:rsidR="00BC6C0B" w:rsidRDefault="00000000">
            <w:pPr>
              <w:spacing w:after="0"/>
              <w:jc w:val="left"/>
            </w:pPr>
            <w:r>
              <w:rPr>
                <w:rFonts w:ascii="Arial" w:hAnsi="Arial"/>
                <w:sz w:val="15"/>
              </w:rPr>
              <w:t>Code/SCA/secrets</w:t>
            </w:r>
          </w:p>
        </w:tc>
        <w:tc>
          <w:tcPr>
            <w:tcW w:w="2880" w:type="dxa"/>
            <w:shd w:val="clear" w:color="auto" w:fill="F4F7FB"/>
            <w:tcMar>
              <w:top w:w="70" w:type="dxa"/>
              <w:left w:w="70" w:type="dxa"/>
              <w:bottom w:w="70" w:type="dxa"/>
              <w:right w:w="70" w:type="dxa"/>
            </w:tcMar>
            <w:vAlign w:val="center"/>
          </w:tcPr>
          <w:p w14:paraId="58604C23" w14:textId="77777777" w:rsidR="00BC6C0B" w:rsidRDefault="00000000">
            <w:pPr>
              <w:spacing w:after="0"/>
              <w:jc w:val="left"/>
            </w:pPr>
            <w:r>
              <w:rPr>
                <w:rFonts w:ascii="Arial" w:hAnsi="Arial"/>
                <w:sz w:val="15"/>
              </w:rPr>
              <w:t>CodeQL, Semgrep, Snyk, Trivy, Grype, Syft, Gitleaks</w:t>
            </w:r>
          </w:p>
        </w:tc>
        <w:tc>
          <w:tcPr>
            <w:tcW w:w="2664" w:type="dxa"/>
            <w:shd w:val="clear" w:color="auto" w:fill="F4F7FB"/>
            <w:tcMar>
              <w:top w:w="70" w:type="dxa"/>
              <w:left w:w="70" w:type="dxa"/>
              <w:bottom w:w="70" w:type="dxa"/>
              <w:right w:w="70" w:type="dxa"/>
            </w:tcMar>
            <w:vAlign w:val="center"/>
          </w:tcPr>
          <w:p w14:paraId="0155B036" w14:textId="77777777" w:rsidR="00BC6C0B" w:rsidRDefault="00000000">
            <w:pPr>
              <w:spacing w:after="0"/>
              <w:jc w:val="left"/>
            </w:pPr>
            <w:r>
              <w:rPr>
                <w:rFonts w:ascii="Arial" w:hAnsi="Arial"/>
                <w:sz w:val="15"/>
              </w:rPr>
              <w:t>Code paths, dependency/SBOM, secret findings</w:t>
            </w:r>
          </w:p>
        </w:tc>
        <w:tc>
          <w:tcPr>
            <w:tcW w:w="3240" w:type="dxa"/>
            <w:shd w:val="clear" w:color="auto" w:fill="F4F7FB"/>
            <w:tcMar>
              <w:top w:w="70" w:type="dxa"/>
              <w:left w:w="70" w:type="dxa"/>
              <w:bottom w:w="70" w:type="dxa"/>
              <w:right w:w="70" w:type="dxa"/>
            </w:tcMar>
            <w:vAlign w:val="center"/>
          </w:tcPr>
          <w:p w14:paraId="4F55C4C2" w14:textId="77777777" w:rsidR="00BC6C0B" w:rsidRDefault="00000000">
            <w:pPr>
              <w:spacing w:after="0"/>
              <w:jc w:val="left"/>
            </w:pPr>
            <w:r>
              <w:rPr>
                <w:rFonts w:ascii="Arial" w:hAnsi="Arial"/>
                <w:sz w:val="15"/>
              </w:rPr>
              <w:t>Repository authorization; do not expose recovered secrets.</w:t>
            </w:r>
          </w:p>
        </w:tc>
      </w:tr>
      <w:tr w:rsidR="00BC6C0B" w14:paraId="624358F8" w14:textId="77777777">
        <w:trPr>
          <w:cantSplit/>
          <w:jc w:val="center"/>
        </w:trPr>
        <w:tc>
          <w:tcPr>
            <w:tcW w:w="1656" w:type="dxa"/>
            <w:tcMar>
              <w:top w:w="70" w:type="dxa"/>
              <w:left w:w="70" w:type="dxa"/>
              <w:bottom w:w="70" w:type="dxa"/>
              <w:right w:w="70" w:type="dxa"/>
            </w:tcMar>
            <w:vAlign w:val="center"/>
          </w:tcPr>
          <w:p w14:paraId="0BA89215" w14:textId="77777777" w:rsidR="00BC6C0B" w:rsidRDefault="00000000">
            <w:pPr>
              <w:spacing w:after="0"/>
              <w:jc w:val="left"/>
            </w:pPr>
            <w:r>
              <w:rPr>
                <w:rFonts w:ascii="Arial" w:hAnsi="Arial"/>
                <w:sz w:val="15"/>
              </w:rPr>
              <w:t>Cloud/Kubernetes</w:t>
            </w:r>
          </w:p>
        </w:tc>
        <w:tc>
          <w:tcPr>
            <w:tcW w:w="2880" w:type="dxa"/>
            <w:tcMar>
              <w:top w:w="70" w:type="dxa"/>
              <w:left w:w="70" w:type="dxa"/>
              <w:bottom w:w="70" w:type="dxa"/>
              <w:right w:w="70" w:type="dxa"/>
            </w:tcMar>
            <w:vAlign w:val="center"/>
          </w:tcPr>
          <w:p w14:paraId="5CF8D970" w14:textId="77777777" w:rsidR="00BC6C0B" w:rsidRDefault="00000000">
            <w:pPr>
              <w:spacing w:after="0"/>
              <w:jc w:val="left"/>
            </w:pPr>
            <w:r>
              <w:rPr>
                <w:rFonts w:ascii="Arial" w:hAnsi="Arial"/>
                <w:sz w:val="15"/>
              </w:rPr>
              <w:t>Prowler, ScoutSuite, Steampipe, kube-bench, kubeaudit, Checkov</w:t>
            </w:r>
          </w:p>
        </w:tc>
        <w:tc>
          <w:tcPr>
            <w:tcW w:w="2664" w:type="dxa"/>
            <w:tcMar>
              <w:top w:w="70" w:type="dxa"/>
              <w:left w:w="70" w:type="dxa"/>
              <w:bottom w:w="70" w:type="dxa"/>
              <w:right w:w="70" w:type="dxa"/>
            </w:tcMar>
            <w:vAlign w:val="center"/>
          </w:tcPr>
          <w:p w14:paraId="51BA852A" w14:textId="77777777" w:rsidR="00BC6C0B" w:rsidRDefault="00000000">
            <w:pPr>
              <w:spacing w:after="0"/>
              <w:jc w:val="left"/>
            </w:pPr>
            <w:r>
              <w:rPr>
                <w:rFonts w:ascii="Arial" w:hAnsi="Arial"/>
                <w:sz w:val="15"/>
              </w:rPr>
              <w:t>IAM/config/IaC evidence</w:t>
            </w:r>
          </w:p>
        </w:tc>
        <w:tc>
          <w:tcPr>
            <w:tcW w:w="3240" w:type="dxa"/>
            <w:tcMar>
              <w:top w:w="70" w:type="dxa"/>
              <w:left w:w="70" w:type="dxa"/>
              <w:bottom w:w="70" w:type="dxa"/>
              <w:right w:w="70" w:type="dxa"/>
            </w:tcMar>
            <w:vAlign w:val="center"/>
          </w:tcPr>
          <w:p w14:paraId="7B93702D" w14:textId="77777777" w:rsidR="00BC6C0B" w:rsidRDefault="00000000">
            <w:pPr>
              <w:spacing w:after="0"/>
              <w:jc w:val="left"/>
            </w:pPr>
            <w:r>
              <w:rPr>
                <w:rFonts w:ascii="Arial" w:hAnsi="Arial"/>
                <w:sz w:val="15"/>
              </w:rPr>
              <w:t>Tenant/account scope; provider terms; least-privileged roles.</w:t>
            </w:r>
          </w:p>
        </w:tc>
      </w:tr>
      <w:tr w:rsidR="00BC6C0B" w14:paraId="5F674BB9" w14:textId="77777777">
        <w:trPr>
          <w:cantSplit/>
          <w:jc w:val="center"/>
        </w:trPr>
        <w:tc>
          <w:tcPr>
            <w:tcW w:w="1656" w:type="dxa"/>
            <w:shd w:val="clear" w:color="auto" w:fill="F4F7FB"/>
            <w:tcMar>
              <w:top w:w="70" w:type="dxa"/>
              <w:left w:w="70" w:type="dxa"/>
              <w:bottom w:w="70" w:type="dxa"/>
              <w:right w:w="70" w:type="dxa"/>
            </w:tcMar>
            <w:vAlign w:val="center"/>
          </w:tcPr>
          <w:p w14:paraId="4CB90E37" w14:textId="77777777" w:rsidR="00BC6C0B" w:rsidRDefault="00000000">
            <w:pPr>
              <w:spacing w:after="0"/>
              <w:jc w:val="left"/>
            </w:pPr>
            <w:r>
              <w:rPr>
                <w:rFonts w:ascii="Arial" w:hAnsi="Arial"/>
                <w:sz w:val="15"/>
              </w:rPr>
              <w:lastRenderedPageBreak/>
              <w:t>Identity</w:t>
            </w:r>
          </w:p>
        </w:tc>
        <w:tc>
          <w:tcPr>
            <w:tcW w:w="2880" w:type="dxa"/>
            <w:shd w:val="clear" w:color="auto" w:fill="F4F7FB"/>
            <w:tcMar>
              <w:top w:w="70" w:type="dxa"/>
              <w:left w:w="70" w:type="dxa"/>
              <w:bottom w:w="70" w:type="dxa"/>
              <w:right w:w="70" w:type="dxa"/>
            </w:tcMar>
            <w:vAlign w:val="center"/>
          </w:tcPr>
          <w:p w14:paraId="726331F0" w14:textId="77777777" w:rsidR="00BC6C0B" w:rsidRDefault="00000000">
            <w:pPr>
              <w:spacing w:after="0"/>
              <w:jc w:val="left"/>
            </w:pPr>
            <w:r>
              <w:rPr>
                <w:rFonts w:ascii="Arial" w:hAnsi="Arial"/>
                <w:sz w:val="15"/>
              </w:rPr>
              <w:t>BloodHound; directory/idP analyzers</w:t>
            </w:r>
          </w:p>
        </w:tc>
        <w:tc>
          <w:tcPr>
            <w:tcW w:w="2664" w:type="dxa"/>
            <w:shd w:val="clear" w:color="auto" w:fill="F4F7FB"/>
            <w:tcMar>
              <w:top w:w="70" w:type="dxa"/>
              <w:left w:w="70" w:type="dxa"/>
              <w:bottom w:w="70" w:type="dxa"/>
              <w:right w:w="70" w:type="dxa"/>
            </w:tcMar>
            <w:vAlign w:val="center"/>
          </w:tcPr>
          <w:p w14:paraId="627FBBD9" w14:textId="77777777" w:rsidR="00BC6C0B" w:rsidRDefault="00000000">
            <w:pPr>
              <w:spacing w:after="0"/>
              <w:jc w:val="left"/>
            </w:pPr>
            <w:r>
              <w:rPr>
                <w:rFonts w:ascii="Arial" w:hAnsi="Arial"/>
                <w:sz w:val="15"/>
              </w:rPr>
              <w:t>Privilege path and trust graph evidence</w:t>
            </w:r>
          </w:p>
        </w:tc>
        <w:tc>
          <w:tcPr>
            <w:tcW w:w="3240" w:type="dxa"/>
            <w:shd w:val="clear" w:color="auto" w:fill="F4F7FB"/>
            <w:tcMar>
              <w:top w:w="70" w:type="dxa"/>
              <w:left w:w="70" w:type="dxa"/>
              <w:bottom w:w="70" w:type="dxa"/>
              <w:right w:w="70" w:type="dxa"/>
            </w:tcMar>
            <w:vAlign w:val="center"/>
          </w:tcPr>
          <w:p w14:paraId="595650D1" w14:textId="77777777" w:rsidR="00BC6C0B" w:rsidRDefault="00000000">
            <w:pPr>
              <w:spacing w:after="0"/>
              <w:jc w:val="left"/>
            </w:pPr>
            <w:r>
              <w:rPr>
                <w:rFonts w:ascii="Arial" w:hAnsi="Arial"/>
                <w:sz w:val="15"/>
              </w:rPr>
              <w:t>Avoid unnecessary credential capture; protect identity data.</w:t>
            </w:r>
          </w:p>
        </w:tc>
      </w:tr>
      <w:tr w:rsidR="00BC6C0B" w14:paraId="201FE488" w14:textId="77777777">
        <w:trPr>
          <w:cantSplit/>
          <w:jc w:val="center"/>
        </w:trPr>
        <w:tc>
          <w:tcPr>
            <w:tcW w:w="1656" w:type="dxa"/>
            <w:tcMar>
              <w:top w:w="70" w:type="dxa"/>
              <w:left w:w="70" w:type="dxa"/>
              <w:bottom w:w="70" w:type="dxa"/>
              <w:right w:w="70" w:type="dxa"/>
            </w:tcMar>
            <w:vAlign w:val="center"/>
          </w:tcPr>
          <w:p w14:paraId="18D0E455" w14:textId="77777777" w:rsidR="00BC6C0B" w:rsidRDefault="00000000">
            <w:pPr>
              <w:spacing w:after="0"/>
              <w:jc w:val="left"/>
            </w:pPr>
            <w:r>
              <w:rPr>
                <w:rFonts w:ascii="Arial" w:hAnsi="Arial"/>
                <w:sz w:val="15"/>
              </w:rPr>
              <w:t>Password audit</w:t>
            </w:r>
          </w:p>
        </w:tc>
        <w:tc>
          <w:tcPr>
            <w:tcW w:w="2880" w:type="dxa"/>
            <w:tcMar>
              <w:top w:w="70" w:type="dxa"/>
              <w:left w:w="70" w:type="dxa"/>
              <w:bottom w:w="70" w:type="dxa"/>
              <w:right w:w="70" w:type="dxa"/>
            </w:tcMar>
            <w:vAlign w:val="center"/>
          </w:tcPr>
          <w:p w14:paraId="20D4487A" w14:textId="77777777" w:rsidR="00BC6C0B" w:rsidRDefault="00000000">
            <w:pPr>
              <w:spacing w:after="0"/>
              <w:jc w:val="left"/>
            </w:pPr>
            <w:r>
              <w:rPr>
                <w:rFonts w:ascii="Arial" w:hAnsi="Arial"/>
                <w:sz w:val="15"/>
              </w:rPr>
              <w:t>Hashcat, John the Ripper</w:t>
            </w:r>
          </w:p>
        </w:tc>
        <w:tc>
          <w:tcPr>
            <w:tcW w:w="2664" w:type="dxa"/>
            <w:tcMar>
              <w:top w:w="70" w:type="dxa"/>
              <w:left w:w="70" w:type="dxa"/>
              <w:bottom w:w="70" w:type="dxa"/>
              <w:right w:w="70" w:type="dxa"/>
            </w:tcMar>
            <w:vAlign w:val="center"/>
          </w:tcPr>
          <w:p w14:paraId="0AED419F" w14:textId="77777777" w:rsidR="00BC6C0B" w:rsidRDefault="00000000">
            <w:pPr>
              <w:spacing w:after="0"/>
              <w:jc w:val="left"/>
            </w:pPr>
            <w:r>
              <w:rPr>
                <w:rFonts w:ascii="Arial" w:hAnsi="Arial"/>
                <w:sz w:val="15"/>
              </w:rPr>
              <w:t>Policy resistance on approved hashes</w:t>
            </w:r>
          </w:p>
        </w:tc>
        <w:tc>
          <w:tcPr>
            <w:tcW w:w="3240" w:type="dxa"/>
            <w:tcMar>
              <w:top w:w="70" w:type="dxa"/>
              <w:left w:w="70" w:type="dxa"/>
              <w:bottom w:w="70" w:type="dxa"/>
              <w:right w:w="70" w:type="dxa"/>
            </w:tcMar>
            <w:vAlign w:val="center"/>
          </w:tcPr>
          <w:p w14:paraId="4AFB274F" w14:textId="77777777" w:rsidR="00BC6C0B" w:rsidRDefault="00000000">
            <w:pPr>
              <w:spacing w:after="0"/>
              <w:jc w:val="left"/>
            </w:pPr>
            <w:r>
              <w:rPr>
                <w:rFonts w:ascii="Arial" w:hAnsi="Arial"/>
                <w:sz w:val="15"/>
              </w:rPr>
              <w:t>Offline/authorized datasets; no uncontrolled credential use.</w:t>
            </w:r>
          </w:p>
        </w:tc>
      </w:tr>
      <w:tr w:rsidR="00BC6C0B" w14:paraId="354160D5" w14:textId="77777777">
        <w:trPr>
          <w:cantSplit/>
          <w:jc w:val="center"/>
        </w:trPr>
        <w:tc>
          <w:tcPr>
            <w:tcW w:w="1656" w:type="dxa"/>
            <w:shd w:val="clear" w:color="auto" w:fill="F4F7FB"/>
            <w:tcMar>
              <w:top w:w="70" w:type="dxa"/>
              <w:left w:w="70" w:type="dxa"/>
              <w:bottom w:w="70" w:type="dxa"/>
              <w:right w:w="70" w:type="dxa"/>
            </w:tcMar>
            <w:vAlign w:val="center"/>
          </w:tcPr>
          <w:p w14:paraId="028EFF4A" w14:textId="77777777" w:rsidR="00BC6C0B" w:rsidRDefault="00000000">
            <w:pPr>
              <w:spacing w:after="0"/>
              <w:jc w:val="left"/>
            </w:pPr>
            <w:r>
              <w:rPr>
                <w:rFonts w:ascii="Arial" w:hAnsi="Arial"/>
                <w:sz w:val="15"/>
              </w:rPr>
              <w:t>Exploit validation</w:t>
            </w:r>
          </w:p>
        </w:tc>
        <w:tc>
          <w:tcPr>
            <w:tcW w:w="2880" w:type="dxa"/>
            <w:shd w:val="clear" w:color="auto" w:fill="F4F7FB"/>
            <w:tcMar>
              <w:top w:w="70" w:type="dxa"/>
              <w:left w:w="70" w:type="dxa"/>
              <w:bottom w:w="70" w:type="dxa"/>
              <w:right w:w="70" w:type="dxa"/>
            </w:tcMar>
            <w:vAlign w:val="center"/>
          </w:tcPr>
          <w:p w14:paraId="42E4711B" w14:textId="77777777" w:rsidR="00BC6C0B" w:rsidRDefault="00000000">
            <w:pPr>
              <w:spacing w:after="0"/>
              <w:jc w:val="left"/>
            </w:pPr>
            <w:r>
              <w:rPr>
                <w:rFonts w:ascii="Arial" w:hAnsi="Arial"/>
                <w:sz w:val="15"/>
              </w:rPr>
              <w:t>Metasploit Framework; purpose-built PoC harnesses</w:t>
            </w:r>
          </w:p>
        </w:tc>
        <w:tc>
          <w:tcPr>
            <w:tcW w:w="2664" w:type="dxa"/>
            <w:shd w:val="clear" w:color="auto" w:fill="F4F7FB"/>
            <w:tcMar>
              <w:top w:w="70" w:type="dxa"/>
              <w:left w:w="70" w:type="dxa"/>
              <w:bottom w:w="70" w:type="dxa"/>
              <w:right w:w="70" w:type="dxa"/>
            </w:tcMar>
            <w:vAlign w:val="center"/>
          </w:tcPr>
          <w:p w14:paraId="50D3EDA1" w14:textId="77777777" w:rsidR="00BC6C0B" w:rsidRDefault="00000000">
            <w:pPr>
              <w:spacing w:after="0"/>
              <w:jc w:val="left"/>
            </w:pPr>
            <w:r>
              <w:rPr>
                <w:rFonts w:ascii="Arial" w:hAnsi="Arial"/>
                <w:sz w:val="15"/>
              </w:rPr>
              <w:t>Reproducible proof and telemetry</w:t>
            </w:r>
          </w:p>
        </w:tc>
        <w:tc>
          <w:tcPr>
            <w:tcW w:w="3240" w:type="dxa"/>
            <w:shd w:val="clear" w:color="auto" w:fill="F4F7FB"/>
            <w:tcMar>
              <w:top w:w="70" w:type="dxa"/>
              <w:left w:w="70" w:type="dxa"/>
              <w:bottom w:w="70" w:type="dxa"/>
              <w:right w:w="70" w:type="dxa"/>
            </w:tcMar>
            <w:vAlign w:val="center"/>
          </w:tcPr>
          <w:p w14:paraId="6D501BA4" w14:textId="77777777" w:rsidR="00BC6C0B" w:rsidRDefault="00000000">
            <w:pPr>
              <w:spacing w:after="0"/>
              <w:jc w:val="left"/>
            </w:pPr>
            <w:r>
              <w:rPr>
                <w:rFonts w:ascii="Arial" w:hAnsi="Arial"/>
                <w:sz w:val="15"/>
              </w:rPr>
              <w:t>Least-impact proof; stop after success criterion; no persistence by default.</w:t>
            </w:r>
          </w:p>
        </w:tc>
      </w:tr>
      <w:tr w:rsidR="00BC6C0B" w14:paraId="479D53F6" w14:textId="77777777">
        <w:trPr>
          <w:cantSplit/>
          <w:jc w:val="center"/>
        </w:trPr>
        <w:tc>
          <w:tcPr>
            <w:tcW w:w="1656" w:type="dxa"/>
            <w:tcMar>
              <w:top w:w="70" w:type="dxa"/>
              <w:left w:w="70" w:type="dxa"/>
              <w:bottom w:w="70" w:type="dxa"/>
              <w:right w:w="70" w:type="dxa"/>
            </w:tcMar>
            <w:vAlign w:val="center"/>
          </w:tcPr>
          <w:p w14:paraId="282CA7C4" w14:textId="77777777" w:rsidR="00BC6C0B" w:rsidRDefault="00000000">
            <w:pPr>
              <w:spacing w:after="0"/>
              <w:jc w:val="left"/>
            </w:pPr>
            <w:r>
              <w:rPr>
                <w:rFonts w:ascii="Arial" w:hAnsi="Arial"/>
                <w:sz w:val="15"/>
              </w:rPr>
              <w:t>Adversary emulation</w:t>
            </w:r>
          </w:p>
        </w:tc>
        <w:tc>
          <w:tcPr>
            <w:tcW w:w="2880" w:type="dxa"/>
            <w:tcMar>
              <w:top w:w="70" w:type="dxa"/>
              <w:left w:w="70" w:type="dxa"/>
              <w:bottom w:w="70" w:type="dxa"/>
              <w:right w:w="70" w:type="dxa"/>
            </w:tcMar>
            <w:vAlign w:val="center"/>
          </w:tcPr>
          <w:p w14:paraId="542CE29E" w14:textId="77777777" w:rsidR="00BC6C0B" w:rsidRDefault="00000000">
            <w:pPr>
              <w:spacing w:after="0"/>
              <w:jc w:val="left"/>
            </w:pPr>
            <w:r>
              <w:rPr>
                <w:rFonts w:ascii="Arial" w:hAnsi="Arial"/>
                <w:sz w:val="15"/>
              </w:rPr>
              <w:t>MITRE CALDERA, Atomic Red Team</w:t>
            </w:r>
          </w:p>
        </w:tc>
        <w:tc>
          <w:tcPr>
            <w:tcW w:w="2664" w:type="dxa"/>
            <w:tcMar>
              <w:top w:w="70" w:type="dxa"/>
              <w:left w:w="70" w:type="dxa"/>
              <w:bottom w:w="70" w:type="dxa"/>
              <w:right w:w="70" w:type="dxa"/>
            </w:tcMar>
            <w:vAlign w:val="center"/>
          </w:tcPr>
          <w:p w14:paraId="58FEAE20" w14:textId="77777777" w:rsidR="00BC6C0B" w:rsidRDefault="00000000">
            <w:pPr>
              <w:spacing w:after="0"/>
              <w:jc w:val="left"/>
            </w:pPr>
            <w:r>
              <w:rPr>
                <w:rFonts w:ascii="Arial" w:hAnsi="Arial"/>
                <w:sz w:val="15"/>
              </w:rPr>
              <w:t>Technique execution and detection coverage</w:t>
            </w:r>
          </w:p>
        </w:tc>
        <w:tc>
          <w:tcPr>
            <w:tcW w:w="3240" w:type="dxa"/>
            <w:tcMar>
              <w:top w:w="70" w:type="dxa"/>
              <w:left w:w="70" w:type="dxa"/>
              <w:bottom w:w="70" w:type="dxa"/>
              <w:right w:w="70" w:type="dxa"/>
            </w:tcMar>
            <w:vAlign w:val="center"/>
          </w:tcPr>
          <w:p w14:paraId="3D6ADC97" w14:textId="77777777" w:rsidR="00BC6C0B" w:rsidRDefault="00000000">
            <w:pPr>
              <w:spacing w:after="0"/>
              <w:jc w:val="left"/>
            </w:pPr>
            <w:r>
              <w:rPr>
                <w:rFonts w:ascii="Arial" w:hAnsi="Arial"/>
                <w:sz w:val="15"/>
              </w:rPr>
              <w:t>Pre-approved techniques; isolated/controlled targets; rollback.</w:t>
            </w:r>
          </w:p>
        </w:tc>
      </w:tr>
      <w:tr w:rsidR="00BC6C0B" w14:paraId="7AE3D339" w14:textId="77777777">
        <w:trPr>
          <w:cantSplit/>
          <w:jc w:val="center"/>
        </w:trPr>
        <w:tc>
          <w:tcPr>
            <w:tcW w:w="1656" w:type="dxa"/>
            <w:shd w:val="clear" w:color="auto" w:fill="F4F7FB"/>
            <w:tcMar>
              <w:top w:w="70" w:type="dxa"/>
              <w:left w:w="70" w:type="dxa"/>
              <w:bottom w:w="70" w:type="dxa"/>
              <w:right w:w="70" w:type="dxa"/>
            </w:tcMar>
            <w:vAlign w:val="center"/>
          </w:tcPr>
          <w:p w14:paraId="79AAECAA" w14:textId="77777777" w:rsidR="00BC6C0B" w:rsidRDefault="00000000">
            <w:pPr>
              <w:spacing w:after="0"/>
              <w:jc w:val="left"/>
            </w:pPr>
            <w:r>
              <w:rPr>
                <w:rFonts w:ascii="Arial" w:hAnsi="Arial"/>
                <w:sz w:val="15"/>
              </w:rPr>
              <w:t>Reverse engineering</w:t>
            </w:r>
          </w:p>
        </w:tc>
        <w:tc>
          <w:tcPr>
            <w:tcW w:w="2880" w:type="dxa"/>
            <w:shd w:val="clear" w:color="auto" w:fill="F4F7FB"/>
            <w:tcMar>
              <w:top w:w="70" w:type="dxa"/>
              <w:left w:w="70" w:type="dxa"/>
              <w:bottom w:w="70" w:type="dxa"/>
              <w:right w:w="70" w:type="dxa"/>
            </w:tcMar>
            <w:vAlign w:val="center"/>
          </w:tcPr>
          <w:p w14:paraId="2D462FF8" w14:textId="77777777" w:rsidR="00BC6C0B" w:rsidRDefault="00000000">
            <w:pPr>
              <w:spacing w:after="0"/>
              <w:jc w:val="left"/>
            </w:pPr>
            <w:r>
              <w:rPr>
                <w:rFonts w:ascii="Arial" w:hAnsi="Arial"/>
                <w:sz w:val="15"/>
              </w:rPr>
              <w:t>Ghidra, Cutter/radare2, YARA, REMnux, FLARE-VM</w:t>
            </w:r>
          </w:p>
        </w:tc>
        <w:tc>
          <w:tcPr>
            <w:tcW w:w="2664" w:type="dxa"/>
            <w:shd w:val="clear" w:color="auto" w:fill="F4F7FB"/>
            <w:tcMar>
              <w:top w:w="70" w:type="dxa"/>
              <w:left w:w="70" w:type="dxa"/>
              <w:bottom w:w="70" w:type="dxa"/>
              <w:right w:w="70" w:type="dxa"/>
            </w:tcMar>
            <w:vAlign w:val="center"/>
          </w:tcPr>
          <w:p w14:paraId="78AAFA75" w14:textId="77777777" w:rsidR="00BC6C0B" w:rsidRDefault="00000000">
            <w:pPr>
              <w:spacing w:after="0"/>
              <w:jc w:val="left"/>
            </w:pPr>
            <w:r>
              <w:rPr>
                <w:rFonts w:ascii="Arial" w:hAnsi="Arial"/>
                <w:sz w:val="15"/>
              </w:rPr>
              <w:t>Static/dynamic artifact findings</w:t>
            </w:r>
          </w:p>
        </w:tc>
        <w:tc>
          <w:tcPr>
            <w:tcW w:w="3240" w:type="dxa"/>
            <w:shd w:val="clear" w:color="auto" w:fill="F4F7FB"/>
            <w:tcMar>
              <w:top w:w="70" w:type="dxa"/>
              <w:left w:w="70" w:type="dxa"/>
              <w:bottom w:w="70" w:type="dxa"/>
              <w:right w:w="70" w:type="dxa"/>
            </w:tcMar>
            <w:vAlign w:val="center"/>
          </w:tcPr>
          <w:p w14:paraId="525751A4" w14:textId="77777777" w:rsidR="00BC6C0B" w:rsidRDefault="00000000">
            <w:pPr>
              <w:spacing w:after="0"/>
              <w:jc w:val="left"/>
            </w:pPr>
            <w:r>
              <w:rPr>
                <w:rFonts w:ascii="Arial" w:hAnsi="Arial"/>
                <w:sz w:val="15"/>
              </w:rPr>
              <w:t>Sandbox unknown code; preserve hashes and provenance.</w:t>
            </w:r>
          </w:p>
        </w:tc>
      </w:tr>
      <w:tr w:rsidR="00BC6C0B" w14:paraId="76AD4773" w14:textId="77777777">
        <w:trPr>
          <w:cantSplit/>
          <w:jc w:val="center"/>
        </w:trPr>
        <w:tc>
          <w:tcPr>
            <w:tcW w:w="1656" w:type="dxa"/>
            <w:tcMar>
              <w:top w:w="70" w:type="dxa"/>
              <w:left w:w="70" w:type="dxa"/>
              <w:bottom w:w="70" w:type="dxa"/>
              <w:right w:w="70" w:type="dxa"/>
            </w:tcMar>
            <w:vAlign w:val="center"/>
          </w:tcPr>
          <w:p w14:paraId="112B18F6" w14:textId="77777777" w:rsidR="00BC6C0B" w:rsidRDefault="00000000">
            <w:pPr>
              <w:spacing w:after="0"/>
              <w:jc w:val="left"/>
            </w:pPr>
            <w:r>
              <w:rPr>
                <w:rFonts w:ascii="Arial" w:hAnsi="Arial"/>
                <w:sz w:val="15"/>
              </w:rPr>
              <w:t>Detection/DFIR</w:t>
            </w:r>
          </w:p>
        </w:tc>
        <w:tc>
          <w:tcPr>
            <w:tcW w:w="2880" w:type="dxa"/>
            <w:tcMar>
              <w:top w:w="70" w:type="dxa"/>
              <w:left w:w="70" w:type="dxa"/>
              <w:bottom w:w="70" w:type="dxa"/>
              <w:right w:w="70" w:type="dxa"/>
            </w:tcMar>
            <w:vAlign w:val="center"/>
          </w:tcPr>
          <w:p w14:paraId="3D695488" w14:textId="77777777" w:rsidR="00BC6C0B" w:rsidRDefault="00000000">
            <w:pPr>
              <w:spacing w:after="0"/>
              <w:jc w:val="left"/>
            </w:pPr>
            <w:r>
              <w:rPr>
                <w:rFonts w:ascii="Arial" w:hAnsi="Arial"/>
                <w:sz w:val="15"/>
              </w:rPr>
              <w:t>Sysmon, osquery, Velociraptor, Sigma, SIEM/EDR</w:t>
            </w:r>
          </w:p>
        </w:tc>
        <w:tc>
          <w:tcPr>
            <w:tcW w:w="2664" w:type="dxa"/>
            <w:tcMar>
              <w:top w:w="70" w:type="dxa"/>
              <w:left w:w="70" w:type="dxa"/>
              <w:bottom w:w="70" w:type="dxa"/>
              <w:right w:w="70" w:type="dxa"/>
            </w:tcMar>
            <w:vAlign w:val="center"/>
          </w:tcPr>
          <w:p w14:paraId="0CDCC3F8" w14:textId="77777777" w:rsidR="00BC6C0B" w:rsidRDefault="00000000">
            <w:pPr>
              <w:spacing w:after="0"/>
              <w:jc w:val="left"/>
            </w:pPr>
            <w:r>
              <w:rPr>
                <w:rFonts w:ascii="Arial" w:hAnsi="Arial"/>
                <w:sz w:val="15"/>
              </w:rPr>
              <w:t>Correlated logs, timelines, detection logic</w:t>
            </w:r>
          </w:p>
        </w:tc>
        <w:tc>
          <w:tcPr>
            <w:tcW w:w="3240" w:type="dxa"/>
            <w:tcMar>
              <w:top w:w="70" w:type="dxa"/>
              <w:left w:w="70" w:type="dxa"/>
              <w:bottom w:w="70" w:type="dxa"/>
              <w:right w:w="70" w:type="dxa"/>
            </w:tcMar>
            <w:vAlign w:val="center"/>
          </w:tcPr>
          <w:p w14:paraId="0C56BD6A" w14:textId="77777777" w:rsidR="00BC6C0B" w:rsidRDefault="00000000">
            <w:pPr>
              <w:spacing w:after="0"/>
              <w:jc w:val="left"/>
            </w:pPr>
            <w:r>
              <w:rPr>
                <w:rFonts w:ascii="Arial" w:hAnsi="Arial"/>
                <w:sz w:val="15"/>
              </w:rPr>
              <w:t>Time synchronization; access control; evidence integrity.</w:t>
            </w:r>
          </w:p>
        </w:tc>
      </w:tr>
      <w:tr w:rsidR="00BC6C0B" w14:paraId="27FEADD4" w14:textId="77777777">
        <w:trPr>
          <w:cantSplit/>
          <w:jc w:val="center"/>
        </w:trPr>
        <w:tc>
          <w:tcPr>
            <w:tcW w:w="1656" w:type="dxa"/>
            <w:shd w:val="clear" w:color="auto" w:fill="F4F7FB"/>
            <w:tcMar>
              <w:top w:w="70" w:type="dxa"/>
              <w:left w:w="70" w:type="dxa"/>
              <w:bottom w:w="70" w:type="dxa"/>
              <w:right w:w="70" w:type="dxa"/>
            </w:tcMar>
            <w:vAlign w:val="center"/>
          </w:tcPr>
          <w:p w14:paraId="709AEC9A" w14:textId="77777777" w:rsidR="00BC6C0B" w:rsidRDefault="00000000">
            <w:pPr>
              <w:spacing w:after="0"/>
              <w:jc w:val="left"/>
            </w:pPr>
            <w:r>
              <w:rPr>
                <w:rFonts w:ascii="Arial" w:hAnsi="Arial"/>
                <w:sz w:val="15"/>
              </w:rPr>
              <w:t>AI assistance</w:t>
            </w:r>
          </w:p>
        </w:tc>
        <w:tc>
          <w:tcPr>
            <w:tcW w:w="2880" w:type="dxa"/>
            <w:shd w:val="clear" w:color="auto" w:fill="F4F7FB"/>
            <w:tcMar>
              <w:top w:w="70" w:type="dxa"/>
              <w:left w:w="70" w:type="dxa"/>
              <w:bottom w:w="70" w:type="dxa"/>
              <w:right w:w="70" w:type="dxa"/>
            </w:tcMar>
            <w:vAlign w:val="center"/>
          </w:tcPr>
          <w:p w14:paraId="0273CA75" w14:textId="77777777" w:rsidR="00BC6C0B" w:rsidRDefault="00000000">
            <w:pPr>
              <w:spacing w:after="0"/>
              <w:jc w:val="left"/>
            </w:pPr>
            <w:r>
              <w:rPr>
                <w:rFonts w:ascii="Arial" w:hAnsi="Arial"/>
                <w:sz w:val="15"/>
              </w:rPr>
              <w:t>Approved LLMs/RAG assistants, local/private models</w:t>
            </w:r>
          </w:p>
        </w:tc>
        <w:tc>
          <w:tcPr>
            <w:tcW w:w="2664" w:type="dxa"/>
            <w:shd w:val="clear" w:color="auto" w:fill="F4F7FB"/>
            <w:tcMar>
              <w:top w:w="70" w:type="dxa"/>
              <w:left w:w="70" w:type="dxa"/>
              <w:bottom w:w="70" w:type="dxa"/>
              <w:right w:w="70" w:type="dxa"/>
            </w:tcMar>
            <w:vAlign w:val="center"/>
          </w:tcPr>
          <w:p w14:paraId="2F2A9D62" w14:textId="77777777" w:rsidR="00BC6C0B" w:rsidRDefault="00000000">
            <w:pPr>
              <w:spacing w:after="0"/>
              <w:jc w:val="left"/>
            </w:pPr>
            <w:r>
              <w:rPr>
                <w:rFonts w:ascii="Arial" w:hAnsi="Arial"/>
                <w:sz w:val="15"/>
              </w:rPr>
              <w:t>Hypotheses, summaries, code review, report drafts</w:t>
            </w:r>
          </w:p>
        </w:tc>
        <w:tc>
          <w:tcPr>
            <w:tcW w:w="3240" w:type="dxa"/>
            <w:shd w:val="clear" w:color="auto" w:fill="F4F7FB"/>
            <w:tcMar>
              <w:top w:w="70" w:type="dxa"/>
              <w:left w:w="70" w:type="dxa"/>
              <w:bottom w:w="70" w:type="dxa"/>
              <w:right w:w="70" w:type="dxa"/>
            </w:tcMar>
            <w:vAlign w:val="center"/>
          </w:tcPr>
          <w:p w14:paraId="10E478E5" w14:textId="77777777" w:rsidR="00BC6C0B" w:rsidRDefault="00000000">
            <w:pPr>
              <w:spacing w:after="0"/>
              <w:jc w:val="left"/>
            </w:pPr>
            <w:r>
              <w:rPr>
                <w:rFonts w:ascii="Arial" w:hAnsi="Arial"/>
                <w:sz w:val="15"/>
              </w:rPr>
              <w:t>No secret leakage; no autonomous scope expansion; provenance and human approval.</w:t>
            </w:r>
          </w:p>
        </w:tc>
      </w:tr>
    </w:tbl>
    <w:p w14:paraId="705F602D" w14:textId="77777777" w:rsidR="00BC6C0B" w:rsidRDefault="00BC6C0B">
      <w:pPr>
        <w:spacing w:after="0"/>
      </w:pPr>
    </w:p>
    <w:p w14:paraId="15F9871A" w14:textId="77777777" w:rsidR="00BC6C0B" w:rsidRDefault="00000000">
      <w:pPr>
        <w:pStyle w:val="Heading1"/>
      </w:pPr>
      <w:r>
        <w:t>6. Technical Assessment Workflow</w:t>
      </w:r>
    </w:p>
    <w:p w14:paraId="20C0A187" w14:textId="77777777" w:rsidR="00BC6C0B" w:rsidRDefault="00000000">
      <w:pPr>
        <w:pStyle w:val="Heading2"/>
      </w:pPr>
      <w:r>
        <w:t>6.1 Phase A — pre-engagement and attack-surface model</w:t>
      </w:r>
    </w:p>
    <w:p w14:paraId="19016A8C" w14:textId="77777777" w:rsidR="00BC6C0B" w:rsidRDefault="00000000">
      <w:r>
        <w:t>The assessment lead converts business objectives into testable security hypotheses. Example: “Can an internet-facing application expose customer records across tenant boundaries?” is better than “run a web scan.” The target model includes assets, criticality, data classes, trust boundaries, identities, network zones, cloud accounts, software components, external dependencies, logging sources and known compensating controls. This model determines which tools are appropriate and what success or failure means.</w:t>
      </w:r>
    </w:p>
    <w:p w14:paraId="666140AB" w14:textId="77777777" w:rsidR="00BC6C0B" w:rsidRDefault="00000000">
      <w:r>
        <w:t>A baseline inventory should be recorded before intrusive activity. For internet-facing work, passive intelligence can be compared with owner-provided inventory to identify shadow assets. For internal work, authenticated configuration collection can establish patch and hardening status. In both cases, ownership validation precedes testing because discovering an asset adjacent to the target does not establish authorization.</w:t>
      </w:r>
    </w:p>
    <w:p w14:paraId="3BFAC8B9" w14:textId="77777777" w:rsidR="00BC6C0B" w:rsidRDefault="00000000">
      <w:pPr>
        <w:pStyle w:val="Heading2"/>
      </w:pPr>
      <w:r>
        <w:t>6.2 Phase B — discovery, correlation and triage</w:t>
      </w:r>
    </w:p>
    <w:p w14:paraId="1EF32A90" w14:textId="77777777" w:rsidR="00BC6C0B" w:rsidRDefault="00000000">
      <w:r>
        <w:t>Discovery combines multiple weak signals into candidate findings. Service fingerprints, software inventories, configuration checks, application responses, code-analysis results, dependency metadata and cloud policies are correlated with CVE, CWE, vendor advisories and security requirements. The assessor records uncertainty rather than silently converting an inference into a fact. An identified product version may indicate a possible vulnerability, but a backported patch, disabled feature or compensating control can invalidate the assumption.</w:t>
      </w:r>
    </w:p>
    <w:p w14:paraId="71B4A97B" w14:textId="77777777" w:rsidR="00BC6C0B" w:rsidRDefault="00000000">
      <w:r>
        <w:t>Risk triage should combine severity and likelihood. FIRST CVSS v4.0 provides a standardized way to characterize vulnerability severity and explicitly separates Base, Threat, Environmental and Supplemental concepts. EPSS estimates the probability that a published CVE will be exploited in the wild in the next 30 days, while CISA KEV identifies vulnerabilities already known to have been exploited. None of these signals alone is an organizational risk score. Asset criticality, external reachability, identity privilege, data sensitivity, control effectiveness and business process must also be considered.</w:t>
      </w:r>
    </w:p>
    <w:p w14:paraId="3AD6C55A" w14:textId="77777777" w:rsidR="00BC6C0B" w:rsidRDefault="00000000">
      <w:pPr>
        <w:pStyle w:val="Heading2"/>
      </w:pPr>
      <w:r>
        <w:t>6.3 Phase C — safe validation and evidence capture</w:t>
      </w:r>
    </w:p>
    <w:p w14:paraId="5C5DD64D" w14:textId="77777777" w:rsidR="00BC6C0B" w:rsidRDefault="00000000">
      <w:r>
        <w:t>Validation answers the smallest question needed to change confidence. If an authenticated scanner already proves an insecure configuration from the authoritative host state, running an exploit may add risk without adding decision value. If impact is uncertain, a controlled functional proof can be justified. The default principle is minimum necessary intrusiveness: demonstrate the condition and bounded impact, then stop. The test plan should define this proof threshold before execution.</w:t>
      </w:r>
    </w:p>
    <w:p w14:paraId="16F32230" w14:textId="77777777" w:rsidR="00BC6C0B" w:rsidRDefault="00000000">
      <w:r>
        <w:t>For every validation, the assessor should preserve a reproducible chain: initial condition, exact target, time, tool/version, request or action, observed response, relevant logs, outcome and cleanup. If a test alters state, cleanup must be verified. If cleanup cannot be guaranteed, the action should require explicit exception approval or be moved into a resettable lab clone.</w:t>
      </w:r>
    </w:p>
    <w:p w14:paraId="08735997" w14:textId="77777777" w:rsidR="00BC6C0B" w:rsidRDefault="00000000">
      <w:pPr>
        <w:pStyle w:val="Heading2"/>
      </w:pPr>
      <w:r>
        <w:t>6.4 Phase D — detection and purple-team verification</w:t>
      </w:r>
    </w:p>
    <w:p w14:paraId="4C40BAA4" w14:textId="77777777" w:rsidR="00BC6C0B" w:rsidRDefault="00000000">
      <w:r>
        <w:t xml:space="preserve">A finding is more valuable when the organization learns whether the activity was observable. The tester and defender should identify expected telemetry sources—identity logs, endpoint events, network traffic, web logs, cloud audit events and security-product alerts—and compare them with the actual trail. ATT&amp;CK technique </w:t>
      </w:r>
      <w:r>
        <w:lastRenderedPageBreak/>
        <w:t>mappings can help communicate adversary behaviour, but detection should be validated against concrete events rather than assumed from a framework mapping.</w:t>
      </w:r>
    </w:p>
    <w:p w14:paraId="6A44F5AD" w14:textId="77777777" w:rsidR="00BC6C0B" w:rsidRDefault="00000000">
      <w:pPr>
        <w:pStyle w:val="Heading2"/>
      </w:pPr>
      <w:r>
        <w:t>6.5 Phase E — remediation, retest and closure</w:t>
      </w:r>
    </w:p>
    <w:p w14:paraId="7291CE5A" w14:textId="77777777" w:rsidR="00BC6C0B" w:rsidRDefault="00000000">
      <w:r>
        <w:t>Remediation must target root cause, not only the proof. A vulnerable endpoint may require patching; an authorization flaw may require server-side policy redesign; an exposed secret may require revocation plus pipeline controls; an over-privileged cloud role may require permission redesign and monitoring. The report should identify immediate containment, durable correction, compensating controls and residual risk. Retest should reproduce the original evidence path and confirm both technical correction and absence of a simple bypass.</w:t>
      </w:r>
    </w:p>
    <w:p w14:paraId="5EA65119" w14:textId="77777777" w:rsidR="00BC6C0B" w:rsidRDefault="00000000">
      <w:r>
        <w:t>Closure includes evidence retention/destruction, confirmation that test accounts and temporary access are removed, a list of unresolved risks and the decision owner for accepted residual risk. Where third-party disclosure is required, the process should follow agreed channels and coordinated timelines rather than public release by default.</w:t>
      </w:r>
    </w:p>
    <w:p w14:paraId="2D821668" w14:textId="77777777" w:rsidR="00BC6C0B" w:rsidRDefault="00000000">
      <w:pPr>
        <w:pStyle w:val="Heading1"/>
      </w:pPr>
      <w:r>
        <w:t>7. AI-Assisted Ethical Hacking: Capabilities and Failure Modes</w:t>
      </w:r>
    </w:p>
    <w:p w14:paraId="72A263F4" w14:textId="77777777" w:rsidR="00BC6C0B" w:rsidRDefault="00000000">
      <w:r>
        <w:t>AI can reduce analyst friction in high-volume reasoning tasks. Useful applications include translating tool output into structured hypotheses, generating configuration-review checklists, summarizing large log sets, explaining unfamiliar code, drafting detection queries, mapping observations to ATT&amp;CK/ASVS/CWE, comparing evidence with standards, and producing first-pass remediation text. PentestGPT research demonstrates that LLMs can perform several penetration-testing subtasks and benefit from explicit modularization, while also showing that context retention remains a weakness (Deng et al., 2024).</w:t>
      </w:r>
    </w:p>
    <w:p w14:paraId="5AE16F1E" w14:textId="77777777" w:rsidR="00BC6C0B" w:rsidRDefault="00000000">
      <w:r>
        <w:t>The same capabilities create new failure modes. An LLM can hallucinate a CVE, invent a command option, infer exploitability from a weak fingerprint, leak sensitive evidence to an external model, follow malicious instructions embedded in retrieved content, or recommend a next step outside the approved scope. Agentic systems can compound the problem because a mistaken plan may be executed at machine speed. For ethical hacking, therefore, model quality is not enough; the AI system needs a control plane.</w:t>
      </w:r>
    </w:p>
    <w:p w14:paraId="1570A5E5" w14:textId="77777777" w:rsidR="00BC6C0B" w:rsidRDefault="00000000">
      <w:pPr>
        <w:jc w:val="center"/>
      </w:pPr>
      <w:r>
        <w:rPr>
          <w:noProof/>
        </w:rPr>
        <w:drawing>
          <wp:inline distT="0" distB="0" distL="0" distR="0" wp14:anchorId="324B3F8E" wp14:editId="0BD1ECE7">
            <wp:extent cx="6355080" cy="2468098"/>
            <wp:effectExtent l="0" t="0" r="0" b="0"/>
            <wp:docPr id="3" name="Picture 3"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i_control_plane.png"/>
                    <pic:cNvPicPr/>
                  </pic:nvPicPr>
                  <pic:blipFill>
                    <a:blip r:embed="rId10"/>
                    <a:stretch>
                      <a:fillRect/>
                    </a:stretch>
                  </pic:blipFill>
                  <pic:spPr>
                    <a:xfrm>
                      <a:off x="0" y="0"/>
                      <a:ext cx="6355080" cy="2468098"/>
                    </a:xfrm>
                    <a:prstGeom prst="rect">
                      <a:avLst/>
                    </a:prstGeom>
                  </pic:spPr>
                </pic:pic>
              </a:graphicData>
            </a:graphic>
          </wp:inline>
        </w:drawing>
      </w:r>
    </w:p>
    <w:p w14:paraId="1D990D6C" w14:textId="77777777" w:rsidR="00BC6C0B" w:rsidRDefault="00000000">
      <w:pPr>
        <w:pStyle w:val="Caption"/>
        <w:spacing w:before="40" w:after="100"/>
      </w:pPr>
      <w:r>
        <w:rPr>
          <w:color w:val="687386"/>
          <w:sz w:val="17"/>
        </w:rPr>
        <w:t>Figure 3. AI-assistance control plane for authorized security assessment. AI is placed inside policy, data, sandbox and human-approval boundaries.</w:t>
      </w:r>
    </w:p>
    <w:p w14:paraId="13A4A9CD" w14:textId="77777777" w:rsidR="00BC6C0B" w:rsidRDefault="00000000">
      <w:pPr>
        <w:pStyle w:val="Heading2"/>
      </w:pPr>
      <w:r>
        <w:t>7.1 Minimum controls for AI use in security assessment</w:t>
      </w:r>
    </w:p>
    <w:p w14:paraId="2F12CE7A" w14:textId="77777777" w:rsidR="00BC6C0B" w:rsidRDefault="00000000">
      <w:pPr>
        <w:pStyle w:val="ListBullet"/>
        <w:spacing w:after="40"/>
        <w:ind w:left="317" w:hanging="173"/>
      </w:pPr>
      <w:r>
        <w:t>Approved model boundary: define which external, private-cloud or local models may receive which data classes.</w:t>
      </w:r>
    </w:p>
    <w:p w14:paraId="7F87F037" w14:textId="77777777" w:rsidR="00BC6C0B" w:rsidRDefault="00000000">
      <w:pPr>
        <w:pStyle w:val="ListBullet"/>
        <w:spacing w:after="40"/>
        <w:ind w:left="317" w:hanging="173"/>
      </w:pPr>
      <w:r>
        <w:t>Retrieval grounding: prefer authoritative current sources, version-pin standards and tool documentation, and preserve source links in analyst notes.</w:t>
      </w:r>
    </w:p>
    <w:p w14:paraId="1D175C47" w14:textId="77777777" w:rsidR="00BC6C0B" w:rsidRDefault="00000000">
      <w:pPr>
        <w:pStyle w:val="ListBullet"/>
        <w:spacing w:after="40"/>
        <w:ind w:left="317" w:hanging="173"/>
      </w:pPr>
      <w:r>
        <w:t>Secret and personal-data protection: redact credentials, tokens, customer records and unnecessary identifiers before external model use.</w:t>
      </w:r>
    </w:p>
    <w:p w14:paraId="243BD1A8" w14:textId="77777777" w:rsidR="00BC6C0B" w:rsidRDefault="00000000">
      <w:pPr>
        <w:pStyle w:val="ListBullet"/>
        <w:spacing w:after="40"/>
        <w:ind w:left="317" w:hanging="173"/>
      </w:pPr>
      <w:r>
        <w:t>Tool allow-list: AI may only call explicitly approved tools with constrained arguments and target scope; read-only actions should be the default.</w:t>
      </w:r>
    </w:p>
    <w:p w14:paraId="25E6E6E9" w14:textId="77777777" w:rsidR="00BC6C0B" w:rsidRDefault="00000000">
      <w:pPr>
        <w:pStyle w:val="ListBullet"/>
        <w:spacing w:after="40"/>
        <w:ind w:left="317" w:hanging="173"/>
      </w:pPr>
      <w:r>
        <w:t>Human approval gates: require analyst authorization before active scanning at scale, exploit validation, credential actions, state-changing cloud operations or any step with service-impact potential.</w:t>
      </w:r>
    </w:p>
    <w:p w14:paraId="26353A0F" w14:textId="77777777" w:rsidR="00BC6C0B" w:rsidRDefault="00000000">
      <w:pPr>
        <w:pStyle w:val="ListBullet"/>
        <w:spacing w:after="40"/>
        <w:ind w:left="317" w:hanging="173"/>
      </w:pPr>
      <w:r>
        <w:t>Sandboxing and egress control: agentic workflows should run in isolated execution environments with network destinations restricted to the test scope.</w:t>
      </w:r>
    </w:p>
    <w:p w14:paraId="63011AE1" w14:textId="77777777" w:rsidR="00BC6C0B" w:rsidRDefault="00000000">
      <w:pPr>
        <w:pStyle w:val="ListBullet"/>
        <w:spacing w:after="40"/>
        <w:ind w:left="317" w:hanging="173"/>
      </w:pPr>
      <w:r>
        <w:t>Auditability: log model version, prompt/context source, output, human decision and resulting tool action so conclusions can be reconstructed.</w:t>
      </w:r>
    </w:p>
    <w:p w14:paraId="3C7103E1" w14:textId="77777777" w:rsidR="00BC6C0B" w:rsidRDefault="00000000">
      <w:pPr>
        <w:pStyle w:val="ListBullet"/>
        <w:spacing w:after="40"/>
        <w:ind w:left="317" w:hanging="173"/>
      </w:pPr>
      <w:r>
        <w:lastRenderedPageBreak/>
        <w:t>Kill switch and rollback: stop AI-mediated execution when telemetry is lost, scope becomes ambiguous, unexpected data appears or a service degrades.</w:t>
      </w:r>
    </w:p>
    <w:p w14:paraId="56AE95EB" w14:textId="77777777" w:rsidR="00BC6C0B" w:rsidRDefault="00000000">
      <w:pPr>
        <w:pStyle w:val="ListBullet"/>
        <w:spacing w:after="40"/>
        <w:ind w:left="317" w:hanging="173"/>
      </w:pPr>
      <w:r>
        <w:t>Independent verification: AI-generated findings are hypotheses until supported by primary evidence from the target, code, logs or authoritative configuration.</w:t>
      </w:r>
    </w:p>
    <w:p w14:paraId="02BA47A5" w14:textId="77777777" w:rsidR="00BC6C0B" w:rsidRDefault="00000000">
      <w:r>
        <w:t>NIST AI 600-1 provides a generative-AI risk profile, while SP 800-218A extends secure software-development guidance to generative AI and dual-use foundation models. NIST IR 8596, the Cyber AI Profile, remains a preliminary draft as of this paper and organizes the problem around securing AI system components, conducting AI-enabled cyber defense and thwarting AI-enabled attacks. NIST SP 1353, released as an initial public draft in August 2026, explores AI use for CSF analysis and reporting. These emerging documents reinforce a key practice point: organizations should use AI in cybersecurity under explicit governance, not as an opaque autonomous operator.</w:t>
      </w:r>
    </w:p>
    <w:p w14:paraId="3F5B2E4D" w14:textId="77777777" w:rsidR="00BC6C0B" w:rsidRDefault="00000000">
      <w:pPr>
        <w:pStyle w:val="Heading1"/>
      </w:pPr>
      <w:r>
        <w:t>8. Testing AI Systems as an Ethical-Hacking Domain</w:t>
      </w:r>
    </w:p>
    <w:p w14:paraId="280C2402" w14:textId="77777777" w:rsidR="00BC6C0B" w:rsidRDefault="00000000">
      <w:r>
        <w:t>AI systems create additional attack surfaces that do not fit neatly into traditional vulnerability scanning. An AI application may include model APIs, retrieval stores, vector databases, system prompts, tool connectors, agent permissions, uploaded files, model gateways, identity controls, rate limits, evaluation pipelines and conventional web/API infrastructure. Assessment must therefore combine application security with model-specific misuse and data-flow analysis.</w:t>
      </w:r>
    </w:p>
    <w:p w14:paraId="74CE17A5" w14:textId="77777777" w:rsidR="00BC6C0B" w:rsidRDefault="00000000">
      <w:r>
        <w:t>A practical AI-system test plan should examine: authorization around model and tool access; prompt and instruction hierarchy; isolation between users or tenants; sensitive-data exposure through retrieval or output; handling of untrusted documents and webpages; tool-call validation; model and package supply chain; logging of prompts/tool actions; abuse and rate controls; output handling by downstream systems; and fallback behaviour when the model is unavailable or uncertain. The purpose is to test trust boundaries and control effectiveness, not to treat “jailbreak success” as the sole measure of AI security.</w:t>
      </w:r>
    </w:p>
    <w:p w14:paraId="216E1A9E" w14:textId="77777777" w:rsidR="00BC6C0B" w:rsidRDefault="00000000">
      <w:r>
        <w:t>Prompt injection is particularly important in agentic and retrieval-augmented systems because untrusted content may attempt to redirect the model’s behaviour. Defenses should not rely only on a system prompt. Stronger controls include privilege separation, tool-specific authorization, schema validation, deterministic policy checks, content provenance, constrained retrieval, output validation and human approval for sensitive actions. In other words, conventional security architecture remains the boundary even when the decision-support layer is probabilistic.</w:t>
      </w:r>
    </w:p>
    <w:p w14:paraId="17FFD4AD" w14:textId="77777777" w:rsidR="00BC6C0B" w:rsidRDefault="00000000">
      <w:pPr>
        <w:pStyle w:val="Heading1"/>
      </w:pPr>
      <w:r>
        <w:t>9. Evidence-Based Vulnerability Prioritization</w:t>
      </w:r>
    </w:p>
    <w:p w14:paraId="4C8EA9F1" w14:textId="77777777" w:rsidR="00BC6C0B" w:rsidRDefault="00000000">
      <w:r>
        <w:t>A technically strong report should not equate scanner count with risk. A practical prioritization model can combine standardized and organization-specific signals. Let V be normalized CVSS severity, E the EPSS probability or normalized likelihood signal, K a binary or graded known-exploitation signal (for example CISA KEV), X external or attack-path exposure, A asset/business criticality, and C the estimated effectiveness of compensating controls on a 0–1 scale. An illustrative, non-standard priority index is:</w:t>
      </w:r>
    </w:p>
    <w:p w14:paraId="181A6C21" w14:textId="77777777" w:rsidR="00BC6C0B" w:rsidRDefault="00000000">
      <w:pPr>
        <w:jc w:val="center"/>
      </w:pPr>
      <w:r>
        <w:rPr>
          <w:rFonts w:ascii="Cambria Math" w:hAnsi="Cambria Math"/>
          <w:b/>
          <w:sz w:val="24"/>
        </w:rPr>
        <w:t>P = A × [0.35V + 0.25E + 0.20K + 0.20X] × (1 − C)</w:t>
      </w:r>
    </w:p>
    <w:p w14:paraId="48B2DED7" w14:textId="77777777" w:rsidR="00BC6C0B" w:rsidRDefault="00000000">
      <w:r>
        <w:t>The weights are illustrative and must be calibrated to organizational objectives; the equation is not a replacement for CVSS, EPSS, ISO risk assessment or a validated enterprise risk model. Its purpose is to make the decision logic visible. A lower-severity weakness on a business-critical internet-facing identity system with active exploitation evidence may reasonably outrank a high-CVSS vulnerability on an isolated non-production host with strong compensating controls.</w:t>
      </w:r>
    </w:p>
    <w:p w14:paraId="111BC86F" w14:textId="77777777" w:rsidR="00BC6C0B" w:rsidRDefault="00000000">
      <w:r>
        <w:t>Each finding should therefore report severity, exploit likelihood, exposure, asset impact, evidence confidence and remediation urgency separately where possible. This improves governance because stakeholders can see whether urgency is driven by technical severity, observed exploitation, business context or all three.</w:t>
      </w:r>
    </w:p>
    <w:p w14:paraId="71E4F422" w14:textId="77777777" w:rsidR="00BC6C0B" w:rsidRDefault="00000000">
      <w:pPr>
        <w:pStyle w:val="Caption"/>
        <w:spacing w:before="40" w:after="100"/>
      </w:pPr>
      <w:r>
        <w:rPr>
          <w:color w:val="687386"/>
          <w:sz w:val="17"/>
        </w:rPr>
        <w:t>Table 3. Recommended evidence fields for a publication- and audit-ready ethical-hacking finding.</w:t>
      </w:r>
    </w:p>
    <w:tbl>
      <w:tblPr>
        <w:tblStyle w:val="TableGrid"/>
        <w:tblW w:w="0" w:type="auto"/>
        <w:jc w:val="center"/>
        <w:tblLook w:val="04A0" w:firstRow="1" w:lastRow="0" w:firstColumn="1" w:lastColumn="0" w:noHBand="0" w:noVBand="1"/>
      </w:tblPr>
      <w:tblGrid>
        <w:gridCol w:w="2137"/>
        <w:gridCol w:w="4327"/>
        <w:gridCol w:w="3535"/>
      </w:tblGrid>
      <w:tr w:rsidR="00BC6C0B" w14:paraId="2DC1C139" w14:textId="77777777">
        <w:trPr>
          <w:cantSplit/>
          <w:tblHeader/>
          <w:jc w:val="center"/>
        </w:trPr>
        <w:tc>
          <w:tcPr>
            <w:tcW w:w="2232" w:type="dxa"/>
            <w:shd w:val="clear" w:color="auto" w:fill="0C2A5B"/>
            <w:tcMar>
              <w:top w:w="70" w:type="dxa"/>
              <w:left w:w="70" w:type="dxa"/>
              <w:bottom w:w="70" w:type="dxa"/>
              <w:right w:w="70" w:type="dxa"/>
            </w:tcMar>
            <w:vAlign w:val="center"/>
          </w:tcPr>
          <w:p w14:paraId="7776A3D3" w14:textId="77777777" w:rsidR="00BC6C0B" w:rsidRDefault="00000000">
            <w:pPr>
              <w:spacing w:after="0"/>
            </w:pPr>
            <w:r>
              <w:rPr>
                <w:rFonts w:ascii="Arial" w:hAnsi="Arial"/>
                <w:b/>
                <w:color w:val="FFFFFF"/>
                <w:sz w:val="16"/>
              </w:rPr>
              <w:t>Field</w:t>
            </w:r>
          </w:p>
        </w:tc>
        <w:tc>
          <w:tcPr>
            <w:tcW w:w="4464" w:type="dxa"/>
            <w:shd w:val="clear" w:color="auto" w:fill="0C2A5B"/>
            <w:tcMar>
              <w:top w:w="70" w:type="dxa"/>
              <w:left w:w="70" w:type="dxa"/>
              <w:bottom w:w="70" w:type="dxa"/>
              <w:right w:w="70" w:type="dxa"/>
            </w:tcMar>
            <w:vAlign w:val="center"/>
          </w:tcPr>
          <w:p w14:paraId="1D77D003" w14:textId="77777777" w:rsidR="00BC6C0B" w:rsidRDefault="00000000">
            <w:pPr>
              <w:spacing w:after="0"/>
            </w:pPr>
            <w:r>
              <w:rPr>
                <w:rFonts w:ascii="Arial" w:hAnsi="Arial"/>
                <w:b/>
                <w:color w:val="FFFFFF"/>
                <w:sz w:val="16"/>
              </w:rPr>
              <w:t>Minimum content</w:t>
            </w:r>
          </w:p>
        </w:tc>
        <w:tc>
          <w:tcPr>
            <w:tcW w:w="3744" w:type="dxa"/>
            <w:shd w:val="clear" w:color="auto" w:fill="0C2A5B"/>
            <w:tcMar>
              <w:top w:w="70" w:type="dxa"/>
              <w:left w:w="70" w:type="dxa"/>
              <w:bottom w:w="70" w:type="dxa"/>
              <w:right w:w="70" w:type="dxa"/>
            </w:tcMar>
            <w:vAlign w:val="center"/>
          </w:tcPr>
          <w:p w14:paraId="1873CE65" w14:textId="77777777" w:rsidR="00BC6C0B" w:rsidRDefault="00000000">
            <w:pPr>
              <w:spacing w:after="0"/>
            </w:pPr>
            <w:r>
              <w:rPr>
                <w:rFonts w:ascii="Arial" w:hAnsi="Arial"/>
                <w:b/>
                <w:color w:val="FFFFFF"/>
                <w:sz w:val="16"/>
              </w:rPr>
              <w:t>Reason</w:t>
            </w:r>
          </w:p>
        </w:tc>
      </w:tr>
      <w:tr w:rsidR="00BC6C0B" w14:paraId="5129513B" w14:textId="77777777">
        <w:trPr>
          <w:cantSplit/>
          <w:jc w:val="center"/>
        </w:trPr>
        <w:tc>
          <w:tcPr>
            <w:tcW w:w="2232" w:type="dxa"/>
            <w:tcMar>
              <w:top w:w="70" w:type="dxa"/>
              <w:left w:w="70" w:type="dxa"/>
              <w:bottom w:w="70" w:type="dxa"/>
              <w:right w:w="70" w:type="dxa"/>
            </w:tcMar>
            <w:vAlign w:val="center"/>
          </w:tcPr>
          <w:p w14:paraId="7D1E7AF3" w14:textId="77777777" w:rsidR="00BC6C0B" w:rsidRDefault="00000000">
            <w:pPr>
              <w:spacing w:after="0"/>
              <w:jc w:val="left"/>
            </w:pPr>
            <w:r>
              <w:rPr>
                <w:rFonts w:ascii="Arial" w:hAnsi="Arial"/>
                <w:sz w:val="16"/>
              </w:rPr>
              <w:t>Finding ID / title</w:t>
            </w:r>
          </w:p>
        </w:tc>
        <w:tc>
          <w:tcPr>
            <w:tcW w:w="4464" w:type="dxa"/>
            <w:tcMar>
              <w:top w:w="70" w:type="dxa"/>
              <w:left w:w="70" w:type="dxa"/>
              <w:bottom w:w="70" w:type="dxa"/>
              <w:right w:w="70" w:type="dxa"/>
            </w:tcMar>
            <w:vAlign w:val="center"/>
          </w:tcPr>
          <w:p w14:paraId="155FB4EA" w14:textId="77777777" w:rsidR="00BC6C0B" w:rsidRDefault="00000000">
            <w:pPr>
              <w:spacing w:after="0"/>
              <w:jc w:val="left"/>
            </w:pPr>
            <w:r>
              <w:rPr>
                <w:rFonts w:ascii="Arial" w:hAnsi="Arial"/>
                <w:sz w:val="16"/>
              </w:rPr>
              <w:t>Stable identifier and precise security condition.</w:t>
            </w:r>
          </w:p>
        </w:tc>
        <w:tc>
          <w:tcPr>
            <w:tcW w:w="3744" w:type="dxa"/>
            <w:tcMar>
              <w:top w:w="70" w:type="dxa"/>
              <w:left w:w="70" w:type="dxa"/>
              <w:bottom w:w="70" w:type="dxa"/>
              <w:right w:w="70" w:type="dxa"/>
            </w:tcMar>
            <w:vAlign w:val="center"/>
          </w:tcPr>
          <w:p w14:paraId="13AC3992" w14:textId="77777777" w:rsidR="00BC6C0B" w:rsidRDefault="00000000">
            <w:pPr>
              <w:spacing w:after="0"/>
              <w:jc w:val="left"/>
            </w:pPr>
            <w:r>
              <w:rPr>
                <w:rFonts w:ascii="Arial" w:hAnsi="Arial"/>
                <w:sz w:val="16"/>
              </w:rPr>
              <w:t>Traceability across report, tickets and retest.</w:t>
            </w:r>
          </w:p>
        </w:tc>
      </w:tr>
      <w:tr w:rsidR="00BC6C0B" w14:paraId="7CD41677" w14:textId="77777777">
        <w:trPr>
          <w:cantSplit/>
          <w:jc w:val="center"/>
        </w:trPr>
        <w:tc>
          <w:tcPr>
            <w:tcW w:w="2232" w:type="dxa"/>
            <w:shd w:val="clear" w:color="auto" w:fill="F4F7FB"/>
            <w:tcMar>
              <w:top w:w="70" w:type="dxa"/>
              <w:left w:w="70" w:type="dxa"/>
              <w:bottom w:w="70" w:type="dxa"/>
              <w:right w:w="70" w:type="dxa"/>
            </w:tcMar>
            <w:vAlign w:val="center"/>
          </w:tcPr>
          <w:p w14:paraId="391E314E" w14:textId="77777777" w:rsidR="00BC6C0B" w:rsidRDefault="00000000">
            <w:pPr>
              <w:spacing w:after="0"/>
              <w:jc w:val="left"/>
            </w:pPr>
            <w:r>
              <w:rPr>
                <w:rFonts w:ascii="Arial" w:hAnsi="Arial"/>
                <w:sz w:val="16"/>
              </w:rPr>
              <w:t>Authorization reference</w:t>
            </w:r>
          </w:p>
        </w:tc>
        <w:tc>
          <w:tcPr>
            <w:tcW w:w="4464" w:type="dxa"/>
            <w:shd w:val="clear" w:color="auto" w:fill="F4F7FB"/>
            <w:tcMar>
              <w:top w:w="70" w:type="dxa"/>
              <w:left w:w="70" w:type="dxa"/>
              <w:bottom w:w="70" w:type="dxa"/>
              <w:right w:w="70" w:type="dxa"/>
            </w:tcMar>
            <w:vAlign w:val="center"/>
          </w:tcPr>
          <w:p w14:paraId="56565440" w14:textId="77777777" w:rsidR="00BC6C0B" w:rsidRDefault="00000000">
            <w:pPr>
              <w:spacing w:after="0"/>
              <w:jc w:val="left"/>
            </w:pPr>
            <w:r>
              <w:rPr>
                <w:rFonts w:ascii="Arial" w:hAnsi="Arial"/>
                <w:sz w:val="16"/>
              </w:rPr>
              <w:t>ROE or work-order clause authorizing the test.</w:t>
            </w:r>
          </w:p>
        </w:tc>
        <w:tc>
          <w:tcPr>
            <w:tcW w:w="3744" w:type="dxa"/>
            <w:shd w:val="clear" w:color="auto" w:fill="F4F7FB"/>
            <w:tcMar>
              <w:top w:w="70" w:type="dxa"/>
              <w:left w:w="70" w:type="dxa"/>
              <w:bottom w:w="70" w:type="dxa"/>
              <w:right w:w="70" w:type="dxa"/>
            </w:tcMar>
            <w:vAlign w:val="center"/>
          </w:tcPr>
          <w:p w14:paraId="48EB1010" w14:textId="77777777" w:rsidR="00BC6C0B" w:rsidRDefault="00000000">
            <w:pPr>
              <w:spacing w:after="0"/>
              <w:jc w:val="left"/>
            </w:pPr>
            <w:r>
              <w:rPr>
                <w:rFonts w:ascii="Arial" w:hAnsi="Arial"/>
                <w:sz w:val="16"/>
              </w:rPr>
              <w:t>Demonstrates scope discipline.</w:t>
            </w:r>
          </w:p>
        </w:tc>
      </w:tr>
      <w:tr w:rsidR="00BC6C0B" w14:paraId="15971F61" w14:textId="77777777">
        <w:trPr>
          <w:cantSplit/>
          <w:jc w:val="center"/>
        </w:trPr>
        <w:tc>
          <w:tcPr>
            <w:tcW w:w="2232" w:type="dxa"/>
            <w:tcMar>
              <w:top w:w="70" w:type="dxa"/>
              <w:left w:w="70" w:type="dxa"/>
              <w:bottom w:w="70" w:type="dxa"/>
              <w:right w:w="70" w:type="dxa"/>
            </w:tcMar>
            <w:vAlign w:val="center"/>
          </w:tcPr>
          <w:p w14:paraId="6F6EDF92" w14:textId="77777777" w:rsidR="00BC6C0B" w:rsidRDefault="00000000">
            <w:pPr>
              <w:spacing w:after="0"/>
              <w:jc w:val="left"/>
            </w:pPr>
            <w:r>
              <w:rPr>
                <w:rFonts w:ascii="Arial" w:hAnsi="Arial"/>
                <w:sz w:val="16"/>
              </w:rPr>
              <w:t>Affected asset / owner</w:t>
            </w:r>
          </w:p>
        </w:tc>
        <w:tc>
          <w:tcPr>
            <w:tcW w:w="4464" w:type="dxa"/>
            <w:tcMar>
              <w:top w:w="70" w:type="dxa"/>
              <w:left w:w="70" w:type="dxa"/>
              <w:bottom w:w="70" w:type="dxa"/>
              <w:right w:w="70" w:type="dxa"/>
            </w:tcMar>
            <w:vAlign w:val="center"/>
          </w:tcPr>
          <w:p w14:paraId="0B83C620" w14:textId="77777777" w:rsidR="00BC6C0B" w:rsidRDefault="00000000">
            <w:pPr>
              <w:spacing w:after="0"/>
              <w:jc w:val="left"/>
            </w:pPr>
            <w:r>
              <w:rPr>
                <w:rFonts w:ascii="Arial" w:hAnsi="Arial"/>
                <w:sz w:val="16"/>
              </w:rPr>
              <w:t>Exact asset, tenant, application component or repository and owner.</w:t>
            </w:r>
          </w:p>
        </w:tc>
        <w:tc>
          <w:tcPr>
            <w:tcW w:w="3744" w:type="dxa"/>
            <w:tcMar>
              <w:top w:w="70" w:type="dxa"/>
              <w:left w:w="70" w:type="dxa"/>
              <w:bottom w:w="70" w:type="dxa"/>
              <w:right w:w="70" w:type="dxa"/>
            </w:tcMar>
            <w:vAlign w:val="center"/>
          </w:tcPr>
          <w:p w14:paraId="59546442" w14:textId="77777777" w:rsidR="00BC6C0B" w:rsidRDefault="00000000">
            <w:pPr>
              <w:spacing w:after="0"/>
              <w:jc w:val="left"/>
            </w:pPr>
            <w:r>
              <w:rPr>
                <w:rFonts w:ascii="Arial" w:hAnsi="Arial"/>
                <w:sz w:val="16"/>
              </w:rPr>
              <w:t>Prevents ambiguous remediation.</w:t>
            </w:r>
          </w:p>
        </w:tc>
      </w:tr>
      <w:tr w:rsidR="00BC6C0B" w14:paraId="732D371D" w14:textId="77777777">
        <w:trPr>
          <w:cantSplit/>
          <w:jc w:val="center"/>
        </w:trPr>
        <w:tc>
          <w:tcPr>
            <w:tcW w:w="2232" w:type="dxa"/>
            <w:shd w:val="clear" w:color="auto" w:fill="F4F7FB"/>
            <w:tcMar>
              <w:top w:w="70" w:type="dxa"/>
              <w:left w:w="70" w:type="dxa"/>
              <w:bottom w:w="70" w:type="dxa"/>
              <w:right w:w="70" w:type="dxa"/>
            </w:tcMar>
            <w:vAlign w:val="center"/>
          </w:tcPr>
          <w:p w14:paraId="619B9930" w14:textId="77777777" w:rsidR="00BC6C0B" w:rsidRDefault="00000000">
            <w:pPr>
              <w:spacing w:after="0"/>
              <w:jc w:val="left"/>
            </w:pPr>
            <w:r>
              <w:rPr>
                <w:rFonts w:ascii="Arial" w:hAnsi="Arial"/>
                <w:sz w:val="16"/>
              </w:rPr>
              <w:t>Observation timestamp</w:t>
            </w:r>
          </w:p>
        </w:tc>
        <w:tc>
          <w:tcPr>
            <w:tcW w:w="4464" w:type="dxa"/>
            <w:shd w:val="clear" w:color="auto" w:fill="F4F7FB"/>
            <w:tcMar>
              <w:top w:w="70" w:type="dxa"/>
              <w:left w:w="70" w:type="dxa"/>
              <w:bottom w:w="70" w:type="dxa"/>
              <w:right w:w="70" w:type="dxa"/>
            </w:tcMar>
            <w:vAlign w:val="center"/>
          </w:tcPr>
          <w:p w14:paraId="2950B52F" w14:textId="77777777" w:rsidR="00BC6C0B" w:rsidRDefault="00000000">
            <w:pPr>
              <w:spacing w:after="0"/>
              <w:jc w:val="left"/>
            </w:pPr>
            <w:r>
              <w:rPr>
                <w:rFonts w:ascii="Arial" w:hAnsi="Arial"/>
                <w:sz w:val="16"/>
              </w:rPr>
              <w:t>Timezone-aware date/time and test source.</w:t>
            </w:r>
          </w:p>
        </w:tc>
        <w:tc>
          <w:tcPr>
            <w:tcW w:w="3744" w:type="dxa"/>
            <w:shd w:val="clear" w:color="auto" w:fill="F4F7FB"/>
            <w:tcMar>
              <w:top w:w="70" w:type="dxa"/>
              <w:left w:w="70" w:type="dxa"/>
              <w:bottom w:w="70" w:type="dxa"/>
              <w:right w:w="70" w:type="dxa"/>
            </w:tcMar>
            <w:vAlign w:val="center"/>
          </w:tcPr>
          <w:p w14:paraId="18439163" w14:textId="77777777" w:rsidR="00BC6C0B" w:rsidRDefault="00000000">
            <w:pPr>
              <w:spacing w:after="0"/>
              <w:jc w:val="left"/>
            </w:pPr>
            <w:r>
              <w:rPr>
                <w:rFonts w:ascii="Arial" w:hAnsi="Arial"/>
                <w:sz w:val="16"/>
              </w:rPr>
              <w:t>Correlates with logs and incident records.</w:t>
            </w:r>
          </w:p>
        </w:tc>
      </w:tr>
      <w:tr w:rsidR="00BC6C0B" w14:paraId="21B3342A" w14:textId="77777777">
        <w:trPr>
          <w:cantSplit/>
          <w:jc w:val="center"/>
        </w:trPr>
        <w:tc>
          <w:tcPr>
            <w:tcW w:w="2232" w:type="dxa"/>
            <w:tcMar>
              <w:top w:w="70" w:type="dxa"/>
              <w:left w:w="70" w:type="dxa"/>
              <w:bottom w:w="70" w:type="dxa"/>
              <w:right w:w="70" w:type="dxa"/>
            </w:tcMar>
            <w:vAlign w:val="center"/>
          </w:tcPr>
          <w:p w14:paraId="28A83D8F" w14:textId="77777777" w:rsidR="00BC6C0B" w:rsidRDefault="00000000">
            <w:pPr>
              <w:spacing w:after="0"/>
              <w:jc w:val="left"/>
            </w:pPr>
            <w:r>
              <w:rPr>
                <w:rFonts w:ascii="Arial" w:hAnsi="Arial"/>
                <w:sz w:val="16"/>
              </w:rPr>
              <w:t>Tool / version / configuration</w:t>
            </w:r>
          </w:p>
        </w:tc>
        <w:tc>
          <w:tcPr>
            <w:tcW w:w="4464" w:type="dxa"/>
            <w:tcMar>
              <w:top w:w="70" w:type="dxa"/>
              <w:left w:w="70" w:type="dxa"/>
              <w:bottom w:w="70" w:type="dxa"/>
              <w:right w:w="70" w:type="dxa"/>
            </w:tcMar>
            <w:vAlign w:val="center"/>
          </w:tcPr>
          <w:p w14:paraId="594E71B0" w14:textId="77777777" w:rsidR="00BC6C0B" w:rsidRDefault="00000000">
            <w:pPr>
              <w:spacing w:after="0"/>
              <w:jc w:val="left"/>
            </w:pPr>
            <w:r>
              <w:rPr>
                <w:rFonts w:ascii="Arial" w:hAnsi="Arial"/>
                <w:sz w:val="16"/>
              </w:rPr>
              <w:t>Exact scanner, proxy, script, model or module version and relevant settings.</w:t>
            </w:r>
          </w:p>
        </w:tc>
        <w:tc>
          <w:tcPr>
            <w:tcW w:w="3744" w:type="dxa"/>
            <w:tcMar>
              <w:top w:w="70" w:type="dxa"/>
              <w:left w:w="70" w:type="dxa"/>
              <w:bottom w:w="70" w:type="dxa"/>
              <w:right w:w="70" w:type="dxa"/>
            </w:tcMar>
            <w:vAlign w:val="center"/>
          </w:tcPr>
          <w:p w14:paraId="316C4581" w14:textId="77777777" w:rsidR="00BC6C0B" w:rsidRDefault="00000000">
            <w:pPr>
              <w:spacing w:after="0"/>
              <w:jc w:val="left"/>
            </w:pPr>
            <w:r>
              <w:rPr>
                <w:rFonts w:ascii="Arial" w:hAnsi="Arial"/>
                <w:sz w:val="16"/>
              </w:rPr>
              <w:t>Reproducibility and provenance.</w:t>
            </w:r>
          </w:p>
        </w:tc>
      </w:tr>
      <w:tr w:rsidR="00BC6C0B" w14:paraId="760E0DB1" w14:textId="77777777">
        <w:trPr>
          <w:cantSplit/>
          <w:jc w:val="center"/>
        </w:trPr>
        <w:tc>
          <w:tcPr>
            <w:tcW w:w="2232" w:type="dxa"/>
            <w:shd w:val="clear" w:color="auto" w:fill="F4F7FB"/>
            <w:tcMar>
              <w:top w:w="70" w:type="dxa"/>
              <w:left w:w="70" w:type="dxa"/>
              <w:bottom w:w="70" w:type="dxa"/>
              <w:right w:w="70" w:type="dxa"/>
            </w:tcMar>
            <w:vAlign w:val="center"/>
          </w:tcPr>
          <w:p w14:paraId="72E501FA" w14:textId="77777777" w:rsidR="00BC6C0B" w:rsidRDefault="00000000">
            <w:pPr>
              <w:spacing w:after="0"/>
              <w:jc w:val="left"/>
            </w:pPr>
            <w:r>
              <w:rPr>
                <w:rFonts w:ascii="Arial" w:hAnsi="Arial"/>
                <w:sz w:val="16"/>
              </w:rPr>
              <w:lastRenderedPageBreak/>
              <w:t>Primary evidence</w:t>
            </w:r>
          </w:p>
        </w:tc>
        <w:tc>
          <w:tcPr>
            <w:tcW w:w="4464" w:type="dxa"/>
            <w:shd w:val="clear" w:color="auto" w:fill="F4F7FB"/>
            <w:tcMar>
              <w:top w:w="70" w:type="dxa"/>
              <w:left w:w="70" w:type="dxa"/>
              <w:bottom w:w="70" w:type="dxa"/>
              <w:right w:w="70" w:type="dxa"/>
            </w:tcMar>
            <w:vAlign w:val="center"/>
          </w:tcPr>
          <w:p w14:paraId="5689C20A" w14:textId="77777777" w:rsidR="00BC6C0B" w:rsidRDefault="00000000">
            <w:pPr>
              <w:spacing w:after="0"/>
              <w:jc w:val="left"/>
            </w:pPr>
            <w:r>
              <w:rPr>
                <w:rFonts w:ascii="Arial" w:hAnsi="Arial"/>
                <w:sz w:val="16"/>
              </w:rPr>
              <w:t>Request/response, config, log, code path, PCAP, API output or artifact hash.</w:t>
            </w:r>
          </w:p>
        </w:tc>
        <w:tc>
          <w:tcPr>
            <w:tcW w:w="3744" w:type="dxa"/>
            <w:shd w:val="clear" w:color="auto" w:fill="F4F7FB"/>
            <w:tcMar>
              <w:top w:w="70" w:type="dxa"/>
              <w:left w:w="70" w:type="dxa"/>
              <w:bottom w:w="70" w:type="dxa"/>
              <w:right w:w="70" w:type="dxa"/>
            </w:tcMar>
            <w:vAlign w:val="center"/>
          </w:tcPr>
          <w:p w14:paraId="7DE5DAF6" w14:textId="77777777" w:rsidR="00BC6C0B" w:rsidRDefault="00000000">
            <w:pPr>
              <w:spacing w:after="0"/>
              <w:jc w:val="left"/>
            </w:pPr>
            <w:r>
              <w:rPr>
                <w:rFonts w:ascii="Arial" w:hAnsi="Arial"/>
                <w:sz w:val="16"/>
              </w:rPr>
              <w:t>Separates proof from interpretation.</w:t>
            </w:r>
          </w:p>
        </w:tc>
      </w:tr>
      <w:tr w:rsidR="00BC6C0B" w14:paraId="647CC4F6" w14:textId="77777777">
        <w:trPr>
          <w:cantSplit/>
          <w:jc w:val="center"/>
        </w:trPr>
        <w:tc>
          <w:tcPr>
            <w:tcW w:w="2232" w:type="dxa"/>
            <w:tcMar>
              <w:top w:w="70" w:type="dxa"/>
              <w:left w:w="70" w:type="dxa"/>
              <w:bottom w:w="70" w:type="dxa"/>
              <w:right w:w="70" w:type="dxa"/>
            </w:tcMar>
            <w:vAlign w:val="center"/>
          </w:tcPr>
          <w:p w14:paraId="14304919" w14:textId="77777777" w:rsidR="00BC6C0B" w:rsidRDefault="00000000">
            <w:pPr>
              <w:spacing w:after="0"/>
              <w:jc w:val="left"/>
            </w:pPr>
            <w:r>
              <w:rPr>
                <w:rFonts w:ascii="Arial" w:hAnsi="Arial"/>
                <w:sz w:val="16"/>
              </w:rPr>
              <w:t>Confidence</w:t>
            </w:r>
          </w:p>
        </w:tc>
        <w:tc>
          <w:tcPr>
            <w:tcW w:w="4464" w:type="dxa"/>
            <w:tcMar>
              <w:top w:w="70" w:type="dxa"/>
              <w:left w:w="70" w:type="dxa"/>
              <w:bottom w:w="70" w:type="dxa"/>
              <w:right w:w="70" w:type="dxa"/>
            </w:tcMar>
            <w:vAlign w:val="center"/>
          </w:tcPr>
          <w:p w14:paraId="1B70F90F" w14:textId="77777777" w:rsidR="00BC6C0B" w:rsidRDefault="00000000">
            <w:pPr>
              <w:spacing w:after="0"/>
              <w:jc w:val="left"/>
            </w:pPr>
            <w:r>
              <w:rPr>
                <w:rFonts w:ascii="Arial" w:hAnsi="Arial"/>
                <w:sz w:val="16"/>
              </w:rPr>
              <w:t>Suspected / detected / validated / impact-demonstrated.</w:t>
            </w:r>
          </w:p>
        </w:tc>
        <w:tc>
          <w:tcPr>
            <w:tcW w:w="3744" w:type="dxa"/>
            <w:tcMar>
              <w:top w:w="70" w:type="dxa"/>
              <w:left w:w="70" w:type="dxa"/>
              <w:bottom w:w="70" w:type="dxa"/>
              <w:right w:w="70" w:type="dxa"/>
            </w:tcMar>
            <w:vAlign w:val="center"/>
          </w:tcPr>
          <w:p w14:paraId="580F7809" w14:textId="77777777" w:rsidR="00BC6C0B" w:rsidRDefault="00000000">
            <w:pPr>
              <w:spacing w:after="0"/>
              <w:jc w:val="left"/>
            </w:pPr>
            <w:r>
              <w:rPr>
                <w:rFonts w:ascii="Arial" w:hAnsi="Arial"/>
                <w:sz w:val="16"/>
              </w:rPr>
              <w:t>Communicates evidence strength.</w:t>
            </w:r>
          </w:p>
        </w:tc>
      </w:tr>
      <w:tr w:rsidR="00BC6C0B" w14:paraId="51E9684C" w14:textId="77777777">
        <w:trPr>
          <w:cantSplit/>
          <w:jc w:val="center"/>
        </w:trPr>
        <w:tc>
          <w:tcPr>
            <w:tcW w:w="2232" w:type="dxa"/>
            <w:shd w:val="clear" w:color="auto" w:fill="F4F7FB"/>
            <w:tcMar>
              <w:top w:w="70" w:type="dxa"/>
              <w:left w:w="70" w:type="dxa"/>
              <w:bottom w:w="70" w:type="dxa"/>
              <w:right w:w="70" w:type="dxa"/>
            </w:tcMar>
            <w:vAlign w:val="center"/>
          </w:tcPr>
          <w:p w14:paraId="219D0D73" w14:textId="77777777" w:rsidR="00BC6C0B" w:rsidRDefault="00000000">
            <w:pPr>
              <w:spacing w:after="0"/>
              <w:jc w:val="left"/>
            </w:pPr>
            <w:r>
              <w:rPr>
                <w:rFonts w:ascii="Arial" w:hAnsi="Arial"/>
                <w:sz w:val="16"/>
              </w:rPr>
              <w:t>Risk signals</w:t>
            </w:r>
          </w:p>
        </w:tc>
        <w:tc>
          <w:tcPr>
            <w:tcW w:w="4464" w:type="dxa"/>
            <w:shd w:val="clear" w:color="auto" w:fill="F4F7FB"/>
            <w:tcMar>
              <w:top w:w="70" w:type="dxa"/>
              <w:left w:w="70" w:type="dxa"/>
              <w:bottom w:w="70" w:type="dxa"/>
              <w:right w:w="70" w:type="dxa"/>
            </w:tcMar>
            <w:vAlign w:val="center"/>
          </w:tcPr>
          <w:p w14:paraId="2119C6D3" w14:textId="77777777" w:rsidR="00BC6C0B" w:rsidRDefault="00000000">
            <w:pPr>
              <w:spacing w:after="0"/>
              <w:jc w:val="left"/>
            </w:pPr>
            <w:r>
              <w:rPr>
                <w:rFonts w:ascii="Arial" w:hAnsi="Arial"/>
                <w:sz w:val="16"/>
              </w:rPr>
              <w:t>CVSS v4 where applicable; EPSS; KEV; exposure; business criticality.</w:t>
            </w:r>
          </w:p>
        </w:tc>
        <w:tc>
          <w:tcPr>
            <w:tcW w:w="3744" w:type="dxa"/>
            <w:shd w:val="clear" w:color="auto" w:fill="F4F7FB"/>
            <w:tcMar>
              <w:top w:w="70" w:type="dxa"/>
              <w:left w:w="70" w:type="dxa"/>
              <w:bottom w:w="70" w:type="dxa"/>
              <w:right w:w="70" w:type="dxa"/>
            </w:tcMar>
            <w:vAlign w:val="center"/>
          </w:tcPr>
          <w:p w14:paraId="74ED6284" w14:textId="77777777" w:rsidR="00BC6C0B" w:rsidRDefault="00000000">
            <w:pPr>
              <w:spacing w:after="0"/>
              <w:jc w:val="left"/>
            </w:pPr>
            <w:r>
              <w:rPr>
                <w:rFonts w:ascii="Arial" w:hAnsi="Arial"/>
                <w:sz w:val="16"/>
              </w:rPr>
              <w:t>Supports prioritization without conflating metrics.</w:t>
            </w:r>
          </w:p>
        </w:tc>
      </w:tr>
      <w:tr w:rsidR="00BC6C0B" w14:paraId="222CECD2" w14:textId="77777777">
        <w:trPr>
          <w:cantSplit/>
          <w:jc w:val="center"/>
        </w:trPr>
        <w:tc>
          <w:tcPr>
            <w:tcW w:w="2232" w:type="dxa"/>
            <w:tcMar>
              <w:top w:w="70" w:type="dxa"/>
              <w:left w:w="70" w:type="dxa"/>
              <w:bottom w:w="70" w:type="dxa"/>
              <w:right w:w="70" w:type="dxa"/>
            </w:tcMar>
            <w:vAlign w:val="center"/>
          </w:tcPr>
          <w:p w14:paraId="02531FAD" w14:textId="77777777" w:rsidR="00BC6C0B" w:rsidRDefault="00000000">
            <w:pPr>
              <w:spacing w:after="0"/>
              <w:jc w:val="left"/>
            </w:pPr>
            <w:r>
              <w:rPr>
                <w:rFonts w:ascii="Arial" w:hAnsi="Arial"/>
                <w:sz w:val="16"/>
              </w:rPr>
              <w:t>Control mapping</w:t>
            </w:r>
          </w:p>
        </w:tc>
        <w:tc>
          <w:tcPr>
            <w:tcW w:w="4464" w:type="dxa"/>
            <w:tcMar>
              <w:top w:w="70" w:type="dxa"/>
              <w:left w:w="70" w:type="dxa"/>
              <w:bottom w:w="70" w:type="dxa"/>
              <w:right w:w="70" w:type="dxa"/>
            </w:tcMar>
            <w:vAlign w:val="center"/>
          </w:tcPr>
          <w:p w14:paraId="49F2F12F" w14:textId="77777777" w:rsidR="00BC6C0B" w:rsidRDefault="00000000">
            <w:pPr>
              <w:spacing w:after="0"/>
              <w:jc w:val="left"/>
            </w:pPr>
            <w:r>
              <w:rPr>
                <w:rFonts w:ascii="Arial" w:hAnsi="Arial"/>
                <w:sz w:val="16"/>
              </w:rPr>
              <w:t>ASVS/WSTG/CIS/ISO/NIST/ATT&amp;CK or internal control reference.</w:t>
            </w:r>
          </w:p>
        </w:tc>
        <w:tc>
          <w:tcPr>
            <w:tcW w:w="3744" w:type="dxa"/>
            <w:tcMar>
              <w:top w:w="70" w:type="dxa"/>
              <w:left w:w="70" w:type="dxa"/>
              <w:bottom w:w="70" w:type="dxa"/>
              <w:right w:w="70" w:type="dxa"/>
            </w:tcMar>
            <w:vAlign w:val="center"/>
          </w:tcPr>
          <w:p w14:paraId="081B80E8" w14:textId="77777777" w:rsidR="00BC6C0B" w:rsidRDefault="00000000">
            <w:pPr>
              <w:spacing w:after="0"/>
              <w:jc w:val="left"/>
            </w:pPr>
            <w:r>
              <w:rPr>
                <w:rFonts w:ascii="Arial" w:hAnsi="Arial"/>
                <w:sz w:val="16"/>
              </w:rPr>
              <w:t>Connects technical weakness to assurance requirements.</w:t>
            </w:r>
          </w:p>
        </w:tc>
      </w:tr>
      <w:tr w:rsidR="00BC6C0B" w14:paraId="603ECE35" w14:textId="77777777">
        <w:trPr>
          <w:cantSplit/>
          <w:jc w:val="center"/>
        </w:trPr>
        <w:tc>
          <w:tcPr>
            <w:tcW w:w="2232" w:type="dxa"/>
            <w:shd w:val="clear" w:color="auto" w:fill="F4F7FB"/>
            <w:tcMar>
              <w:top w:w="70" w:type="dxa"/>
              <w:left w:w="70" w:type="dxa"/>
              <w:bottom w:w="70" w:type="dxa"/>
              <w:right w:w="70" w:type="dxa"/>
            </w:tcMar>
            <w:vAlign w:val="center"/>
          </w:tcPr>
          <w:p w14:paraId="3085F208" w14:textId="77777777" w:rsidR="00BC6C0B" w:rsidRDefault="00000000">
            <w:pPr>
              <w:spacing w:after="0"/>
              <w:jc w:val="left"/>
            </w:pPr>
            <w:r>
              <w:rPr>
                <w:rFonts w:ascii="Arial" w:hAnsi="Arial"/>
                <w:sz w:val="16"/>
              </w:rPr>
              <w:t>Remediation</w:t>
            </w:r>
          </w:p>
        </w:tc>
        <w:tc>
          <w:tcPr>
            <w:tcW w:w="4464" w:type="dxa"/>
            <w:shd w:val="clear" w:color="auto" w:fill="F4F7FB"/>
            <w:tcMar>
              <w:top w:w="70" w:type="dxa"/>
              <w:left w:w="70" w:type="dxa"/>
              <w:bottom w:w="70" w:type="dxa"/>
              <w:right w:w="70" w:type="dxa"/>
            </w:tcMar>
            <w:vAlign w:val="center"/>
          </w:tcPr>
          <w:p w14:paraId="1DA2EA29" w14:textId="77777777" w:rsidR="00BC6C0B" w:rsidRDefault="00000000">
            <w:pPr>
              <w:spacing w:after="0"/>
              <w:jc w:val="left"/>
            </w:pPr>
            <w:r>
              <w:rPr>
                <w:rFonts w:ascii="Arial" w:hAnsi="Arial"/>
                <w:sz w:val="16"/>
              </w:rPr>
              <w:t>Immediate containment, durable fix, compensating controls.</w:t>
            </w:r>
          </w:p>
        </w:tc>
        <w:tc>
          <w:tcPr>
            <w:tcW w:w="3744" w:type="dxa"/>
            <w:shd w:val="clear" w:color="auto" w:fill="F4F7FB"/>
            <w:tcMar>
              <w:top w:w="70" w:type="dxa"/>
              <w:left w:w="70" w:type="dxa"/>
              <w:bottom w:w="70" w:type="dxa"/>
              <w:right w:w="70" w:type="dxa"/>
            </w:tcMar>
            <w:vAlign w:val="center"/>
          </w:tcPr>
          <w:p w14:paraId="0DFDE4CA" w14:textId="77777777" w:rsidR="00BC6C0B" w:rsidRDefault="00000000">
            <w:pPr>
              <w:spacing w:after="0"/>
              <w:jc w:val="left"/>
            </w:pPr>
            <w:r>
              <w:rPr>
                <w:rFonts w:ascii="Arial" w:hAnsi="Arial"/>
                <w:sz w:val="16"/>
              </w:rPr>
              <w:t>Actionability.</w:t>
            </w:r>
          </w:p>
        </w:tc>
      </w:tr>
      <w:tr w:rsidR="00BC6C0B" w14:paraId="18D536F4" w14:textId="77777777">
        <w:trPr>
          <w:cantSplit/>
          <w:jc w:val="center"/>
        </w:trPr>
        <w:tc>
          <w:tcPr>
            <w:tcW w:w="2232" w:type="dxa"/>
            <w:tcMar>
              <w:top w:w="70" w:type="dxa"/>
              <w:left w:w="70" w:type="dxa"/>
              <w:bottom w:w="70" w:type="dxa"/>
              <w:right w:w="70" w:type="dxa"/>
            </w:tcMar>
            <w:vAlign w:val="center"/>
          </w:tcPr>
          <w:p w14:paraId="6479A344" w14:textId="77777777" w:rsidR="00BC6C0B" w:rsidRDefault="00000000">
            <w:pPr>
              <w:spacing w:after="0"/>
              <w:jc w:val="left"/>
            </w:pPr>
            <w:r>
              <w:rPr>
                <w:rFonts w:ascii="Arial" w:hAnsi="Arial"/>
                <w:sz w:val="16"/>
              </w:rPr>
              <w:t>Retest result</w:t>
            </w:r>
          </w:p>
        </w:tc>
        <w:tc>
          <w:tcPr>
            <w:tcW w:w="4464" w:type="dxa"/>
            <w:tcMar>
              <w:top w:w="70" w:type="dxa"/>
              <w:left w:w="70" w:type="dxa"/>
              <w:bottom w:w="70" w:type="dxa"/>
              <w:right w:w="70" w:type="dxa"/>
            </w:tcMar>
            <w:vAlign w:val="center"/>
          </w:tcPr>
          <w:p w14:paraId="297943A4" w14:textId="77777777" w:rsidR="00BC6C0B" w:rsidRDefault="00000000">
            <w:pPr>
              <w:spacing w:after="0"/>
              <w:jc w:val="left"/>
            </w:pPr>
            <w:r>
              <w:rPr>
                <w:rFonts w:ascii="Arial" w:hAnsi="Arial"/>
                <w:sz w:val="16"/>
              </w:rPr>
              <w:t>Pass/fail/partial, residual risk and evidence.</w:t>
            </w:r>
          </w:p>
        </w:tc>
        <w:tc>
          <w:tcPr>
            <w:tcW w:w="3744" w:type="dxa"/>
            <w:tcMar>
              <w:top w:w="70" w:type="dxa"/>
              <w:left w:w="70" w:type="dxa"/>
              <w:bottom w:w="70" w:type="dxa"/>
              <w:right w:w="70" w:type="dxa"/>
            </w:tcMar>
            <w:vAlign w:val="center"/>
          </w:tcPr>
          <w:p w14:paraId="2C24BF8C" w14:textId="77777777" w:rsidR="00BC6C0B" w:rsidRDefault="00000000">
            <w:pPr>
              <w:spacing w:after="0"/>
              <w:jc w:val="left"/>
            </w:pPr>
            <w:r>
              <w:rPr>
                <w:rFonts w:ascii="Arial" w:hAnsi="Arial"/>
                <w:sz w:val="16"/>
              </w:rPr>
              <w:t>Confirms closure.</w:t>
            </w:r>
          </w:p>
        </w:tc>
      </w:tr>
      <w:tr w:rsidR="00BC6C0B" w14:paraId="0567634C" w14:textId="77777777">
        <w:trPr>
          <w:cantSplit/>
          <w:jc w:val="center"/>
        </w:trPr>
        <w:tc>
          <w:tcPr>
            <w:tcW w:w="2232" w:type="dxa"/>
            <w:shd w:val="clear" w:color="auto" w:fill="F4F7FB"/>
            <w:tcMar>
              <w:top w:w="70" w:type="dxa"/>
              <w:left w:w="70" w:type="dxa"/>
              <w:bottom w:w="70" w:type="dxa"/>
              <w:right w:w="70" w:type="dxa"/>
            </w:tcMar>
            <w:vAlign w:val="center"/>
          </w:tcPr>
          <w:p w14:paraId="46A9E0FE" w14:textId="77777777" w:rsidR="00BC6C0B" w:rsidRDefault="00000000">
            <w:pPr>
              <w:spacing w:after="0"/>
              <w:jc w:val="left"/>
            </w:pPr>
            <w:r>
              <w:rPr>
                <w:rFonts w:ascii="Arial" w:hAnsi="Arial"/>
                <w:sz w:val="16"/>
              </w:rPr>
              <w:t>AI provenance, if used</w:t>
            </w:r>
          </w:p>
        </w:tc>
        <w:tc>
          <w:tcPr>
            <w:tcW w:w="4464" w:type="dxa"/>
            <w:shd w:val="clear" w:color="auto" w:fill="F4F7FB"/>
            <w:tcMar>
              <w:top w:w="70" w:type="dxa"/>
              <w:left w:w="70" w:type="dxa"/>
              <w:bottom w:w="70" w:type="dxa"/>
              <w:right w:w="70" w:type="dxa"/>
            </w:tcMar>
            <w:vAlign w:val="center"/>
          </w:tcPr>
          <w:p w14:paraId="7E294C82" w14:textId="77777777" w:rsidR="00BC6C0B" w:rsidRDefault="00000000">
            <w:pPr>
              <w:spacing w:after="0"/>
              <w:jc w:val="left"/>
            </w:pPr>
            <w:r>
              <w:rPr>
                <w:rFonts w:ascii="Arial" w:hAnsi="Arial"/>
                <w:sz w:val="16"/>
              </w:rPr>
              <w:t>Model/version, role of AI, source grounding and human verification.</w:t>
            </w:r>
          </w:p>
        </w:tc>
        <w:tc>
          <w:tcPr>
            <w:tcW w:w="3744" w:type="dxa"/>
            <w:shd w:val="clear" w:color="auto" w:fill="F4F7FB"/>
            <w:tcMar>
              <w:top w:w="70" w:type="dxa"/>
              <w:left w:w="70" w:type="dxa"/>
              <w:bottom w:w="70" w:type="dxa"/>
              <w:right w:w="70" w:type="dxa"/>
            </w:tcMar>
            <w:vAlign w:val="center"/>
          </w:tcPr>
          <w:p w14:paraId="11690812" w14:textId="77777777" w:rsidR="00BC6C0B" w:rsidRDefault="00000000">
            <w:pPr>
              <w:spacing w:after="0"/>
              <w:jc w:val="left"/>
            </w:pPr>
            <w:r>
              <w:rPr>
                <w:rFonts w:ascii="Arial" w:hAnsi="Arial"/>
                <w:sz w:val="16"/>
              </w:rPr>
              <w:t>Transparency and reproducibility in AI-assisted analysis.</w:t>
            </w:r>
          </w:p>
        </w:tc>
      </w:tr>
    </w:tbl>
    <w:p w14:paraId="6A591C65" w14:textId="77777777" w:rsidR="00BC6C0B" w:rsidRDefault="00BC6C0B">
      <w:pPr>
        <w:spacing w:after="0"/>
      </w:pPr>
    </w:p>
    <w:p w14:paraId="77A33AF6" w14:textId="77777777" w:rsidR="00BC6C0B" w:rsidRDefault="00000000">
      <w:pPr>
        <w:pStyle w:val="Heading1"/>
      </w:pPr>
      <w:r>
        <w:t>10. Common Failure Modes in Ethical-Hacking Programmes</w:t>
      </w:r>
    </w:p>
    <w:p w14:paraId="4C19DB43" w14:textId="77777777" w:rsidR="00BC6C0B" w:rsidRDefault="00000000">
      <w:r>
        <w:t>Tool-first programmes often underperform because they generate findings faster than the organization can validate or remediate them. Installing more scanners does not fix poor asset ownership, missing authentication for scans, weak logging or ambiguous risk acceptance. A mature programme measures coverage and decision quality rather than raw finding count.</w:t>
      </w:r>
    </w:p>
    <w:p w14:paraId="16FD88C3" w14:textId="77777777" w:rsidR="00BC6C0B" w:rsidRDefault="00000000">
      <w:r>
        <w:t>A second failure mode is uncontrolled proof escalation. Testers sometimes treat the ability to obtain deeper access as proof of skill even when the original finding has already been established. This increases operational and legal risk without necessarily improving remediation. The rules of engagement should state proof thresholds and require re-authorization when a test moves from validation into persistence, lateral movement, bulk data access or disruptive behaviour.</w:t>
      </w:r>
    </w:p>
    <w:p w14:paraId="17745824" w14:textId="77777777" w:rsidR="00BC6C0B" w:rsidRDefault="00000000">
      <w:r>
        <w:t>A third failure mode is AI-induced overconfidence. Fluent model output can appear authoritative even when the underlying claim is wrong or stale. Security evidence must therefore remain target-derived and reproducible. AI may propose a mapping to an ASVS requirement or ATT&amp;CK technique, but the analyst verifies the current version and confirms that the mapping matches the observed behaviour.</w:t>
      </w:r>
    </w:p>
    <w:p w14:paraId="65661280" w14:textId="77777777" w:rsidR="00BC6C0B" w:rsidRDefault="00000000">
      <w:r>
        <w:t>A fourth failure mode is poor closure. Temporary firewall rules, test accounts, API keys, uploaded files, exploit artifacts and logging changes can outlive the engagement. Cleanup verification is a technical deliverable, not an administrative footnote. Retained evidence should be encrypted, access-controlled and destroyed on schedule when no longer needed.</w:t>
      </w:r>
    </w:p>
    <w:p w14:paraId="17E0A5E6" w14:textId="77777777" w:rsidR="00BC6C0B" w:rsidRDefault="00000000">
      <w:pPr>
        <w:pStyle w:val="Heading1"/>
      </w:pPr>
      <w:r>
        <w:t>11. Workforce Competency and Professional Practice</w:t>
      </w:r>
    </w:p>
    <w:p w14:paraId="20492387" w14:textId="77777777" w:rsidR="00BC6C0B" w:rsidRDefault="00000000">
      <w:r>
        <w:t>The 2026 NICE Framework Components reinforce the need to describe cybersecurity work through roles, competency areas and task/knowledge/skill statements rather than tool brand familiarity. An ethical hacker should understand networking, operating systems, identity, applications, cloud, secure software, risk, privacy, evidence, incident response and communication. Specialists may go deeper in exploit development, reverse engineering, web security, cloud security or adversary emulation, but the shared foundation is governed assessment.</w:t>
      </w:r>
    </w:p>
    <w:p w14:paraId="30E4A3A6" w14:textId="77777777" w:rsidR="00BC6C0B" w:rsidRDefault="00000000">
      <w:r>
        <w:t>Training should therefore be evidence-based. Learners should be assessed on whether they can construct rules of engagement, model an attack surface, select a safe technique, preserve evidence, interpret false positives, map findings to controls, prioritize remediation, verify detection and write an executive-quality risk statement. An exercise that rewards only “getting a shell” teaches the wrong professional objective.</w:t>
      </w:r>
    </w:p>
    <w:p w14:paraId="4E66D439" w14:textId="77777777" w:rsidR="00BC6C0B" w:rsidRDefault="00000000">
      <w:pPr>
        <w:pStyle w:val="Caption"/>
        <w:spacing w:before="40" w:after="100"/>
      </w:pPr>
      <w:r>
        <w:rPr>
          <w:color w:val="687386"/>
          <w:sz w:val="17"/>
        </w:rPr>
        <w:t>Table 4. Competency outcomes for an ethical-hacking practitioner in the AI era.</w:t>
      </w:r>
    </w:p>
    <w:tbl>
      <w:tblPr>
        <w:tblStyle w:val="TableGrid"/>
        <w:tblW w:w="0" w:type="auto"/>
        <w:jc w:val="center"/>
        <w:tblLook w:val="04A0" w:firstRow="1" w:lastRow="0" w:firstColumn="1" w:lastColumn="0" w:noHBand="0" w:noVBand="1"/>
      </w:tblPr>
      <w:tblGrid>
        <w:gridCol w:w="2301"/>
        <w:gridCol w:w="4376"/>
        <w:gridCol w:w="3322"/>
      </w:tblGrid>
      <w:tr w:rsidR="00BC6C0B" w14:paraId="3E005479" w14:textId="77777777">
        <w:trPr>
          <w:cantSplit/>
          <w:tblHeader/>
          <w:jc w:val="center"/>
        </w:trPr>
        <w:tc>
          <w:tcPr>
            <w:tcW w:w="2376" w:type="dxa"/>
            <w:shd w:val="clear" w:color="auto" w:fill="0C2A5B"/>
            <w:tcMar>
              <w:top w:w="70" w:type="dxa"/>
              <w:left w:w="70" w:type="dxa"/>
              <w:bottom w:w="70" w:type="dxa"/>
              <w:right w:w="70" w:type="dxa"/>
            </w:tcMar>
            <w:vAlign w:val="center"/>
          </w:tcPr>
          <w:p w14:paraId="59E85C08" w14:textId="77777777" w:rsidR="00BC6C0B" w:rsidRDefault="00000000">
            <w:pPr>
              <w:spacing w:after="0"/>
            </w:pPr>
            <w:r>
              <w:rPr>
                <w:rFonts w:ascii="Arial" w:hAnsi="Arial"/>
                <w:b/>
                <w:color w:val="FFFFFF"/>
                <w:sz w:val="16"/>
              </w:rPr>
              <w:t>Competency</w:t>
            </w:r>
          </w:p>
        </w:tc>
        <w:tc>
          <w:tcPr>
            <w:tcW w:w="4608" w:type="dxa"/>
            <w:shd w:val="clear" w:color="auto" w:fill="0C2A5B"/>
            <w:tcMar>
              <w:top w:w="70" w:type="dxa"/>
              <w:left w:w="70" w:type="dxa"/>
              <w:bottom w:w="70" w:type="dxa"/>
              <w:right w:w="70" w:type="dxa"/>
            </w:tcMar>
            <w:vAlign w:val="center"/>
          </w:tcPr>
          <w:p w14:paraId="421F8A21" w14:textId="77777777" w:rsidR="00BC6C0B" w:rsidRDefault="00000000">
            <w:pPr>
              <w:spacing w:after="0"/>
            </w:pPr>
            <w:r>
              <w:rPr>
                <w:rFonts w:ascii="Arial" w:hAnsi="Arial"/>
                <w:b/>
                <w:color w:val="FFFFFF"/>
                <w:sz w:val="16"/>
              </w:rPr>
              <w:t>Observable capability</w:t>
            </w:r>
          </w:p>
        </w:tc>
        <w:tc>
          <w:tcPr>
            <w:tcW w:w="3456" w:type="dxa"/>
            <w:shd w:val="clear" w:color="auto" w:fill="0C2A5B"/>
            <w:tcMar>
              <w:top w:w="70" w:type="dxa"/>
              <w:left w:w="70" w:type="dxa"/>
              <w:bottom w:w="70" w:type="dxa"/>
              <w:right w:w="70" w:type="dxa"/>
            </w:tcMar>
            <w:vAlign w:val="center"/>
          </w:tcPr>
          <w:p w14:paraId="4F02EB0E" w14:textId="77777777" w:rsidR="00BC6C0B" w:rsidRDefault="00000000">
            <w:pPr>
              <w:spacing w:after="0"/>
            </w:pPr>
            <w:r>
              <w:rPr>
                <w:rFonts w:ascii="Arial" w:hAnsi="Arial"/>
                <w:b/>
                <w:color w:val="FFFFFF"/>
                <w:sz w:val="16"/>
              </w:rPr>
              <w:t>Assessment artifact</w:t>
            </w:r>
          </w:p>
        </w:tc>
      </w:tr>
      <w:tr w:rsidR="00BC6C0B" w14:paraId="2D0A26BC" w14:textId="77777777">
        <w:trPr>
          <w:cantSplit/>
          <w:jc w:val="center"/>
        </w:trPr>
        <w:tc>
          <w:tcPr>
            <w:tcW w:w="2376" w:type="dxa"/>
            <w:tcMar>
              <w:top w:w="70" w:type="dxa"/>
              <w:left w:w="70" w:type="dxa"/>
              <w:bottom w:w="70" w:type="dxa"/>
              <w:right w:w="70" w:type="dxa"/>
            </w:tcMar>
            <w:vAlign w:val="center"/>
          </w:tcPr>
          <w:p w14:paraId="2DB57E60" w14:textId="77777777" w:rsidR="00BC6C0B" w:rsidRDefault="00000000">
            <w:pPr>
              <w:spacing w:after="0"/>
              <w:jc w:val="left"/>
            </w:pPr>
            <w:r>
              <w:rPr>
                <w:rFonts w:ascii="Arial" w:hAnsi="Arial"/>
                <w:sz w:val="16"/>
              </w:rPr>
              <w:t>Governance &amp; ethics</w:t>
            </w:r>
          </w:p>
        </w:tc>
        <w:tc>
          <w:tcPr>
            <w:tcW w:w="4608" w:type="dxa"/>
            <w:tcMar>
              <w:top w:w="70" w:type="dxa"/>
              <w:left w:w="70" w:type="dxa"/>
              <w:bottom w:w="70" w:type="dxa"/>
              <w:right w:w="70" w:type="dxa"/>
            </w:tcMar>
            <w:vAlign w:val="center"/>
          </w:tcPr>
          <w:p w14:paraId="26BDE93E" w14:textId="77777777" w:rsidR="00BC6C0B" w:rsidRDefault="00000000">
            <w:pPr>
              <w:spacing w:after="0"/>
              <w:jc w:val="left"/>
            </w:pPr>
            <w:r>
              <w:rPr>
                <w:rFonts w:ascii="Arial" w:hAnsi="Arial"/>
                <w:sz w:val="16"/>
              </w:rPr>
              <w:t>Creates defensible scope, ROE, privacy, stop and disclosure procedures.</w:t>
            </w:r>
          </w:p>
        </w:tc>
        <w:tc>
          <w:tcPr>
            <w:tcW w:w="3456" w:type="dxa"/>
            <w:tcMar>
              <w:top w:w="70" w:type="dxa"/>
              <w:left w:w="70" w:type="dxa"/>
              <w:bottom w:w="70" w:type="dxa"/>
              <w:right w:w="70" w:type="dxa"/>
            </w:tcMar>
            <w:vAlign w:val="center"/>
          </w:tcPr>
          <w:p w14:paraId="5EA9A41F" w14:textId="77777777" w:rsidR="00BC6C0B" w:rsidRDefault="00000000">
            <w:pPr>
              <w:spacing w:after="0"/>
              <w:jc w:val="left"/>
            </w:pPr>
            <w:r>
              <w:rPr>
                <w:rFonts w:ascii="Arial" w:hAnsi="Arial"/>
                <w:sz w:val="16"/>
              </w:rPr>
              <w:t>Approved assessment plan and scope matrix.</w:t>
            </w:r>
          </w:p>
        </w:tc>
      </w:tr>
      <w:tr w:rsidR="00BC6C0B" w14:paraId="1C1CA779" w14:textId="77777777">
        <w:trPr>
          <w:cantSplit/>
          <w:jc w:val="center"/>
        </w:trPr>
        <w:tc>
          <w:tcPr>
            <w:tcW w:w="2376" w:type="dxa"/>
            <w:shd w:val="clear" w:color="auto" w:fill="F4F7FB"/>
            <w:tcMar>
              <w:top w:w="70" w:type="dxa"/>
              <w:left w:w="70" w:type="dxa"/>
              <w:bottom w:w="70" w:type="dxa"/>
              <w:right w:w="70" w:type="dxa"/>
            </w:tcMar>
            <w:vAlign w:val="center"/>
          </w:tcPr>
          <w:p w14:paraId="797CBC3B" w14:textId="77777777" w:rsidR="00BC6C0B" w:rsidRDefault="00000000">
            <w:pPr>
              <w:spacing w:after="0"/>
              <w:jc w:val="left"/>
            </w:pPr>
            <w:r>
              <w:rPr>
                <w:rFonts w:ascii="Arial" w:hAnsi="Arial"/>
                <w:sz w:val="16"/>
              </w:rPr>
              <w:t>Systems &amp; network reasoning</w:t>
            </w:r>
          </w:p>
        </w:tc>
        <w:tc>
          <w:tcPr>
            <w:tcW w:w="4608" w:type="dxa"/>
            <w:shd w:val="clear" w:color="auto" w:fill="F4F7FB"/>
            <w:tcMar>
              <w:top w:w="70" w:type="dxa"/>
              <w:left w:w="70" w:type="dxa"/>
              <w:bottom w:w="70" w:type="dxa"/>
              <w:right w:w="70" w:type="dxa"/>
            </w:tcMar>
            <w:vAlign w:val="center"/>
          </w:tcPr>
          <w:p w14:paraId="414E1DA4" w14:textId="77777777" w:rsidR="00BC6C0B" w:rsidRDefault="00000000">
            <w:pPr>
              <w:spacing w:after="0"/>
              <w:jc w:val="left"/>
            </w:pPr>
            <w:r>
              <w:rPr>
                <w:rFonts w:ascii="Arial" w:hAnsi="Arial"/>
                <w:sz w:val="16"/>
              </w:rPr>
              <w:t>Explains trust boundaries, protocols, identity and segmentation.</w:t>
            </w:r>
          </w:p>
        </w:tc>
        <w:tc>
          <w:tcPr>
            <w:tcW w:w="3456" w:type="dxa"/>
            <w:shd w:val="clear" w:color="auto" w:fill="F4F7FB"/>
            <w:tcMar>
              <w:top w:w="70" w:type="dxa"/>
              <w:left w:w="70" w:type="dxa"/>
              <w:bottom w:w="70" w:type="dxa"/>
              <w:right w:w="70" w:type="dxa"/>
            </w:tcMar>
            <w:vAlign w:val="center"/>
          </w:tcPr>
          <w:p w14:paraId="6CD4004E" w14:textId="77777777" w:rsidR="00BC6C0B" w:rsidRDefault="00000000">
            <w:pPr>
              <w:spacing w:after="0"/>
              <w:jc w:val="left"/>
            </w:pPr>
            <w:r>
              <w:rPr>
                <w:rFonts w:ascii="Arial" w:hAnsi="Arial"/>
                <w:sz w:val="16"/>
              </w:rPr>
              <w:t>Architecture/threat model with test hypotheses.</w:t>
            </w:r>
          </w:p>
        </w:tc>
      </w:tr>
      <w:tr w:rsidR="00BC6C0B" w14:paraId="499ACA1E" w14:textId="77777777">
        <w:trPr>
          <w:cantSplit/>
          <w:jc w:val="center"/>
        </w:trPr>
        <w:tc>
          <w:tcPr>
            <w:tcW w:w="2376" w:type="dxa"/>
            <w:tcMar>
              <w:top w:w="70" w:type="dxa"/>
              <w:left w:w="70" w:type="dxa"/>
              <w:bottom w:w="70" w:type="dxa"/>
              <w:right w:w="70" w:type="dxa"/>
            </w:tcMar>
            <w:vAlign w:val="center"/>
          </w:tcPr>
          <w:p w14:paraId="12519F9B" w14:textId="77777777" w:rsidR="00BC6C0B" w:rsidRDefault="00000000">
            <w:pPr>
              <w:spacing w:after="0"/>
              <w:jc w:val="left"/>
            </w:pPr>
            <w:r>
              <w:rPr>
                <w:rFonts w:ascii="Arial" w:hAnsi="Arial"/>
                <w:sz w:val="16"/>
              </w:rPr>
              <w:t>Application &amp; API security</w:t>
            </w:r>
          </w:p>
        </w:tc>
        <w:tc>
          <w:tcPr>
            <w:tcW w:w="4608" w:type="dxa"/>
            <w:tcMar>
              <w:top w:w="70" w:type="dxa"/>
              <w:left w:w="70" w:type="dxa"/>
              <w:bottom w:w="70" w:type="dxa"/>
              <w:right w:w="70" w:type="dxa"/>
            </w:tcMar>
            <w:vAlign w:val="center"/>
          </w:tcPr>
          <w:p w14:paraId="6064BE32" w14:textId="77777777" w:rsidR="00BC6C0B" w:rsidRDefault="00000000">
            <w:pPr>
              <w:spacing w:after="0"/>
              <w:jc w:val="left"/>
            </w:pPr>
            <w:r>
              <w:rPr>
                <w:rFonts w:ascii="Arial" w:hAnsi="Arial"/>
                <w:sz w:val="16"/>
              </w:rPr>
              <w:t>Tests authorization, session, input, configuration and business logic.</w:t>
            </w:r>
          </w:p>
        </w:tc>
        <w:tc>
          <w:tcPr>
            <w:tcW w:w="3456" w:type="dxa"/>
            <w:tcMar>
              <w:top w:w="70" w:type="dxa"/>
              <w:left w:w="70" w:type="dxa"/>
              <w:bottom w:w="70" w:type="dxa"/>
              <w:right w:w="70" w:type="dxa"/>
            </w:tcMar>
            <w:vAlign w:val="center"/>
          </w:tcPr>
          <w:p w14:paraId="13E1698C" w14:textId="77777777" w:rsidR="00BC6C0B" w:rsidRDefault="00000000">
            <w:pPr>
              <w:spacing w:after="0"/>
              <w:jc w:val="left"/>
            </w:pPr>
            <w:r>
              <w:rPr>
                <w:rFonts w:ascii="Arial" w:hAnsi="Arial"/>
                <w:sz w:val="16"/>
              </w:rPr>
              <w:t>Versioned WSTG/ASVS evidence.</w:t>
            </w:r>
          </w:p>
        </w:tc>
      </w:tr>
      <w:tr w:rsidR="00BC6C0B" w14:paraId="793AF785" w14:textId="77777777">
        <w:trPr>
          <w:cantSplit/>
          <w:jc w:val="center"/>
        </w:trPr>
        <w:tc>
          <w:tcPr>
            <w:tcW w:w="2376" w:type="dxa"/>
            <w:shd w:val="clear" w:color="auto" w:fill="F4F7FB"/>
            <w:tcMar>
              <w:top w:w="70" w:type="dxa"/>
              <w:left w:w="70" w:type="dxa"/>
              <w:bottom w:w="70" w:type="dxa"/>
              <w:right w:w="70" w:type="dxa"/>
            </w:tcMar>
            <w:vAlign w:val="center"/>
          </w:tcPr>
          <w:p w14:paraId="5248CBD2" w14:textId="77777777" w:rsidR="00BC6C0B" w:rsidRDefault="00000000">
            <w:pPr>
              <w:spacing w:after="0"/>
              <w:jc w:val="left"/>
            </w:pPr>
            <w:r>
              <w:rPr>
                <w:rFonts w:ascii="Arial" w:hAnsi="Arial"/>
                <w:sz w:val="16"/>
              </w:rPr>
              <w:t>Cloud &amp; identity security</w:t>
            </w:r>
          </w:p>
        </w:tc>
        <w:tc>
          <w:tcPr>
            <w:tcW w:w="4608" w:type="dxa"/>
            <w:shd w:val="clear" w:color="auto" w:fill="F4F7FB"/>
            <w:tcMar>
              <w:top w:w="70" w:type="dxa"/>
              <w:left w:w="70" w:type="dxa"/>
              <w:bottom w:w="70" w:type="dxa"/>
              <w:right w:w="70" w:type="dxa"/>
            </w:tcMar>
            <w:vAlign w:val="center"/>
          </w:tcPr>
          <w:p w14:paraId="4DC018D8" w14:textId="77777777" w:rsidR="00BC6C0B" w:rsidRDefault="00000000">
            <w:pPr>
              <w:spacing w:after="0"/>
              <w:jc w:val="left"/>
            </w:pPr>
            <w:r>
              <w:rPr>
                <w:rFonts w:ascii="Arial" w:hAnsi="Arial"/>
                <w:sz w:val="16"/>
              </w:rPr>
              <w:t>Evaluates effective permissions, workloads, secrets and control-plane exposure.</w:t>
            </w:r>
          </w:p>
        </w:tc>
        <w:tc>
          <w:tcPr>
            <w:tcW w:w="3456" w:type="dxa"/>
            <w:shd w:val="clear" w:color="auto" w:fill="F4F7FB"/>
            <w:tcMar>
              <w:top w:w="70" w:type="dxa"/>
              <w:left w:w="70" w:type="dxa"/>
              <w:bottom w:w="70" w:type="dxa"/>
              <w:right w:w="70" w:type="dxa"/>
            </w:tcMar>
            <w:vAlign w:val="center"/>
          </w:tcPr>
          <w:p w14:paraId="5D860357" w14:textId="77777777" w:rsidR="00BC6C0B" w:rsidRDefault="00000000">
            <w:pPr>
              <w:spacing w:after="0"/>
              <w:jc w:val="left"/>
            </w:pPr>
            <w:r>
              <w:rPr>
                <w:rFonts w:ascii="Arial" w:hAnsi="Arial"/>
                <w:sz w:val="16"/>
              </w:rPr>
              <w:t>IAM path analysis and cloud evidence.</w:t>
            </w:r>
          </w:p>
        </w:tc>
      </w:tr>
      <w:tr w:rsidR="00BC6C0B" w14:paraId="77443E44" w14:textId="77777777">
        <w:trPr>
          <w:cantSplit/>
          <w:jc w:val="center"/>
        </w:trPr>
        <w:tc>
          <w:tcPr>
            <w:tcW w:w="2376" w:type="dxa"/>
            <w:tcMar>
              <w:top w:w="70" w:type="dxa"/>
              <w:left w:w="70" w:type="dxa"/>
              <w:bottom w:w="70" w:type="dxa"/>
              <w:right w:w="70" w:type="dxa"/>
            </w:tcMar>
            <w:vAlign w:val="center"/>
          </w:tcPr>
          <w:p w14:paraId="66369E21" w14:textId="77777777" w:rsidR="00BC6C0B" w:rsidRDefault="00000000">
            <w:pPr>
              <w:spacing w:after="0"/>
              <w:jc w:val="left"/>
            </w:pPr>
            <w:r>
              <w:rPr>
                <w:rFonts w:ascii="Arial" w:hAnsi="Arial"/>
                <w:sz w:val="16"/>
              </w:rPr>
              <w:lastRenderedPageBreak/>
              <w:t>Vulnerability management</w:t>
            </w:r>
          </w:p>
        </w:tc>
        <w:tc>
          <w:tcPr>
            <w:tcW w:w="4608" w:type="dxa"/>
            <w:tcMar>
              <w:top w:w="70" w:type="dxa"/>
              <w:left w:w="70" w:type="dxa"/>
              <w:bottom w:w="70" w:type="dxa"/>
              <w:right w:w="70" w:type="dxa"/>
            </w:tcMar>
            <w:vAlign w:val="center"/>
          </w:tcPr>
          <w:p w14:paraId="585D38B8" w14:textId="77777777" w:rsidR="00BC6C0B" w:rsidRDefault="00000000">
            <w:pPr>
              <w:spacing w:after="0"/>
              <w:jc w:val="left"/>
            </w:pPr>
            <w:r>
              <w:rPr>
                <w:rFonts w:ascii="Arial" w:hAnsi="Arial"/>
                <w:sz w:val="16"/>
              </w:rPr>
              <w:t>Correlates scanner data with CVE/CWE, CVSS, EPSS, KEV and asset context.</w:t>
            </w:r>
          </w:p>
        </w:tc>
        <w:tc>
          <w:tcPr>
            <w:tcW w:w="3456" w:type="dxa"/>
            <w:tcMar>
              <w:top w:w="70" w:type="dxa"/>
              <w:left w:w="70" w:type="dxa"/>
              <w:bottom w:w="70" w:type="dxa"/>
              <w:right w:w="70" w:type="dxa"/>
            </w:tcMar>
            <w:vAlign w:val="center"/>
          </w:tcPr>
          <w:p w14:paraId="0B55D7CB" w14:textId="77777777" w:rsidR="00BC6C0B" w:rsidRDefault="00000000">
            <w:pPr>
              <w:spacing w:after="0"/>
              <w:jc w:val="left"/>
            </w:pPr>
            <w:r>
              <w:rPr>
                <w:rFonts w:ascii="Arial" w:hAnsi="Arial"/>
                <w:sz w:val="16"/>
              </w:rPr>
              <w:t>Prioritized, confidence-rated findings.</w:t>
            </w:r>
          </w:p>
        </w:tc>
      </w:tr>
      <w:tr w:rsidR="00BC6C0B" w14:paraId="14023429" w14:textId="77777777">
        <w:trPr>
          <w:cantSplit/>
          <w:jc w:val="center"/>
        </w:trPr>
        <w:tc>
          <w:tcPr>
            <w:tcW w:w="2376" w:type="dxa"/>
            <w:shd w:val="clear" w:color="auto" w:fill="F4F7FB"/>
            <w:tcMar>
              <w:top w:w="70" w:type="dxa"/>
              <w:left w:w="70" w:type="dxa"/>
              <w:bottom w:w="70" w:type="dxa"/>
              <w:right w:w="70" w:type="dxa"/>
            </w:tcMar>
            <w:vAlign w:val="center"/>
          </w:tcPr>
          <w:p w14:paraId="1015A766" w14:textId="77777777" w:rsidR="00BC6C0B" w:rsidRDefault="00000000">
            <w:pPr>
              <w:spacing w:after="0"/>
              <w:jc w:val="left"/>
            </w:pPr>
            <w:r>
              <w:rPr>
                <w:rFonts w:ascii="Arial" w:hAnsi="Arial"/>
                <w:sz w:val="16"/>
              </w:rPr>
              <w:t>Safe validation</w:t>
            </w:r>
          </w:p>
        </w:tc>
        <w:tc>
          <w:tcPr>
            <w:tcW w:w="4608" w:type="dxa"/>
            <w:shd w:val="clear" w:color="auto" w:fill="F4F7FB"/>
            <w:tcMar>
              <w:top w:w="70" w:type="dxa"/>
              <w:left w:w="70" w:type="dxa"/>
              <w:bottom w:w="70" w:type="dxa"/>
              <w:right w:w="70" w:type="dxa"/>
            </w:tcMar>
            <w:vAlign w:val="center"/>
          </w:tcPr>
          <w:p w14:paraId="29C3AEBA" w14:textId="77777777" w:rsidR="00BC6C0B" w:rsidRDefault="00000000">
            <w:pPr>
              <w:spacing w:after="0"/>
              <w:jc w:val="left"/>
            </w:pPr>
            <w:r>
              <w:rPr>
                <w:rFonts w:ascii="Arial" w:hAnsi="Arial"/>
                <w:sz w:val="16"/>
              </w:rPr>
              <w:t>Uses least-impact proof and captures reproducible evidence.</w:t>
            </w:r>
          </w:p>
        </w:tc>
        <w:tc>
          <w:tcPr>
            <w:tcW w:w="3456" w:type="dxa"/>
            <w:shd w:val="clear" w:color="auto" w:fill="F4F7FB"/>
            <w:tcMar>
              <w:top w:w="70" w:type="dxa"/>
              <w:left w:w="70" w:type="dxa"/>
              <w:bottom w:w="70" w:type="dxa"/>
              <w:right w:w="70" w:type="dxa"/>
            </w:tcMar>
            <w:vAlign w:val="center"/>
          </w:tcPr>
          <w:p w14:paraId="5312D1A9" w14:textId="77777777" w:rsidR="00BC6C0B" w:rsidRDefault="00000000">
            <w:pPr>
              <w:spacing w:after="0"/>
              <w:jc w:val="left"/>
            </w:pPr>
            <w:r>
              <w:rPr>
                <w:rFonts w:ascii="Arial" w:hAnsi="Arial"/>
                <w:sz w:val="16"/>
              </w:rPr>
              <w:t>Validation record with cleanup confirmation.</w:t>
            </w:r>
          </w:p>
        </w:tc>
      </w:tr>
      <w:tr w:rsidR="00BC6C0B" w14:paraId="497CF35B" w14:textId="77777777">
        <w:trPr>
          <w:cantSplit/>
          <w:jc w:val="center"/>
        </w:trPr>
        <w:tc>
          <w:tcPr>
            <w:tcW w:w="2376" w:type="dxa"/>
            <w:tcMar>
              <w:top w:w="70" w:type="dxa"/>
              <w:left w:w="70" w:type="dxa"/>
              <w:bottom w:w="70" w:type="dxa"/>
              <w:right w:w="70" w:type="dxa"/>
            </w:tcMar>
            <w:vAlign w:val="center"/>
          </w:tcPr>
          <w:p w14:paraId="3397D4B9" w14:textId="77777777" w:rsidR="00BC6C0B" w:rsidRDefault="00000000">
            <w:pPr>
              <w:spacing w:after="0"/>
              <w:jc w:val="left"/>
            </w:pPr>
            <w:r>
              <w:rPr>
                <w:rFonts w:ascii="Arial" w:hAnsi="Arial"/>
                <w:sz w:val="16"/>
              </w:rPr>
              <w:t>Detection &amp; incident integration</w:t>
            </w:r>
          </w:p>
        </w:tc>
        <w:tc>
          <w:tcPr>
            <w:tcW w:w="4608" w:type="dxa"/>
            <w:tcMar>
              <w:top w:w="70" w:type="dxa"/>
              <w:left w:w="70" w:type="dxa"/>
              <w:bottom w:w="70" w:type="dxa"/>
              <w:right w:w="70" w:type="dxa"/>
            </w:tcMar>
            <w:vAlign w:val="center"/>
          </w:tcPr>
          <w:p w14:paraId="62C89027" w14:textId="77777777" w:rsidR="00BC6C0B" w:rsidRDefault="00000000">
            <w:pPr>
              <w:spacing w:after="0"/>
              <w:jc w:val="left"/>
            </w:pPr>
            <w:r>
              <w:rPr>
                <w:rFonts w:ascii="Arial" w:hAnsi="Arial"/>
                <w:sz w:val="16"/>
              </w:rPr>
              <w:t>Verifies telemetry and response implications.</w:t>
            </w:r>
          </w:p>
        </w:tc>
        <w:tc>
          <w:tcPr>
            <w:tcW w:w="3456" w:type="dxa"/>
            <w:tcMar>
              <w:top w:w="70" w:type="dxa"/>
              <w:left w:w="70" w:type="dxa"/>
              <w:bottom w:w="70" w:type="dxa"/>
              <w:right w:w="70" w:type="dxa"/>
            </w:tcMar>
            <w:vAlign w:val="center"/>
          </w:tcPr>
          <w:p w14:paraId="434F04EE" w14:textId="77777777" w:rsidR="00BC6C0B" w:rsidRDefault="00000000">
            <w:pPr>
              <w:spacing w:after="0"/>
              <w:jc w:val="left"/>
            </w:pPr>
            <w:r>
              <w:rPr>
                <w:rFonts w:ascii="Arial" w:hAnsi="Arial"/>
                <w:sz w:val="16"/>
              </w:rPr>
              <w:t>Log timeline, alert/detection gap and remediation.</w:t>
            </w:r>
          </w:p>
        </w:tc>
      </w:tr>
      <w:tr w:rsidR="00BC6C0B" w14:paraId="19EA7A36" w14:textId="77777777">
        <w:trPr>
          <w:cantSplit/>
          <w:jc w:val="center"/>
        </w:trPr>
        <w:tc>
          <w:tcPr>
            <w:tcW w:w="2376" w:type="dxa"/>
            <w:shd w:val="clear" w:color="auto" w:fill="F4F7FB"/>
            <w:tcMar>
              <w:top w:w="70" w:type="dxa"/>
              <w:left w:w="70" w:type="dxa"/>
              <w:bottom w:w="70" w:type="dxa"/>
              <w:right w:w="70" w:type="dxa"/>
            </w:tcMar>
            <w:vAlign w:val="center"/>
          </w:tcPr>
          <w:p w14:paraId="5990BC2E" w14:textId="77777777" w:rsidR="00BC6C0B" w:rsidRDefault="00000000">
            <w:pPr>
              <w:spacing w:after="0"/>
              <w:jc w:val="left"/>
            </w:pPr>
            <w:r>
              <w:rPr>
                <w:rFonts w:ascii="Arial" w:hAnsi="Arial"/>
                <w:sz w:val="16"/>
              </w:rPr>
              <w:t>AI-assisted analysis</w:t>
            </w:r>
          </w:p>
        </w:tc>
        <w:tc>
          <w:tcPr>
            <w:tcW w:w="4608" w:type="dxa"/>
            <w:shd w:val="clear" w:color="auto" w:fill="F4F7FB"/>
            <w:tcMar>
              <w:top w:w="70" w:type="dxa"/>
              <w:left w:w="70" w:type="dxa"/>
              <w:bottom w:w="70" w:type="dxa"/>
              <w:right w:w="70" w:type="dxa"/>
            </w:tcMar>
            <w:vAlign w:val="center"/>
          </w:tcPr>
          <w:p w14:paraId="20900D8D" w14:textId="77777777" w:rsidR="00BC6C0B" w:rsidRDefault="00000000">
            <w:pPr>
              <w:spacing w:after="0"/>
              <w:jc w:val="left"/>
            </w:pPr>
            <w:r>
              <w:rPr>
                <w:rFonts w:ascii="Arial" w:hAnsi="Arial"/>
                <w:sz w:val="16"/>
              </w:rPr>
              <w:t>Uses AI with grounding, data protection, approval gates and provenance.</w:t>
            </w:r>
          </w:p>
        </w:tc>
        <w:tc>
          <w:tcPr>
            <w:tcW w:w="3456" w:type="dxa"/>
            <w:shd w:val="clear" w:color="auto" w:fill="F4F7FB"/>
            <w:tcMar>
              <w:top w:w="70" w:type="dxa"/>
              <w:left w:w="70" w:type="dxa"/>
              <w:bottom w:w="70" w:type="dxa"/>
              <w:right w:w="70" w:type="dxa"/>
            </w:tcMar>
            <w:vAlign w:val="center"/>
          </w:tcPr>
          <w:p w14:paraId="51648FB9" w14:textId="77777777" w:rsidR="00BC6C0B" w:rsidRDefault="00000000">
            <w:pPr>
              <w:spacing w:after="0"/>
              <w:jc w:val="left"/>
            </w:pPr>
            <w:r>
              <w:rPr>
                <w:rFonts w:ascii="Arial" w:hAnsi="Arial"/>
                <w:sz w:val="16"/>
              </w:rPr>
              <w:t>AI use record plus independently verified evidence.</w:t>
            </w:r>
          </w:p>
        </w:tc>
      </w:tr>
      <w:tr w:rsidR="00BC6C0B" w14:paraId="74F5A631" w14:textId="77777777">
        <w:trPr>
          <w:cantSplit/>
          <w:jc w:val="center"/>
        </w:trPr>
        <w:tc>
          <w:tcPr>
            <w:tcW w:w="2376" w:type="dxa"/>
            <w:tcMar>
              <w:top w:w="70" w:type="dxa"/>
              <w:left w:w="70" w:type="dxa"/>
              <w:bottom w:w="70" w:type="dxa"/>
              <w:right w:w="70" w:type="dxa"/>
            </w:tcMar>
            <w:vAlign w:val="center"/>
          </w:tcPr>
          <w:p w14:paraId="535F2077" w14:textId="77777777" w:rsidR="00BC6C0B" w:rsidRDefault="00000000">
            <w:pPr>
              <w:spacing w:after="0"/>
              <w:jc w:val="left"/>
            </w:pPr>
            <w:r>
              <w:rPr>
                <w:rFonts w:ascii="Arial" w:hAnsi="Arial"/>
                <w:sz w:val="16"/>
              </w:rPr>
              <w:t>Communication</w:t>
            </w:r>
          </w:p>
        </w:tc>
        <w:tc>
          <w:tcPr>
            <w:tcW w:w="4608" w:type="dxa"/>
            <w:tcMar>
              <w:top w:w="70" w:type="dxa"/>
              <w:left w:w="70" w:type="dxa"/>
              <w:bottom w:w="70" w:type="dxa"/>
              <w:right w:w="70" w:type="dxa"/>
            </w:tcMar>
            <w:vAlign w:val="center"/>
          </w:tcPr>
          <w:p w14:paraId="036D4D93" w14:textId="77777777" w:rsidR="00BC6C0B" w:rsidRDefault="00000000">
            <w:pPr>
              <w:spacing w:after="0"/>
              <w:jc w:val="left"/>
            </w:pPr>
            <w:r>
              <w:rPr>
                <w:rFonts w:ascii="Arial" w:hAnsi="Arial"/>
                <w:sz w:val="16"/>
              </w:rPr>
              <w:t>Translates technical findings into business risk and actionable remediation.</w:t>
            </w:r>
          </w:p>
        </w:tc>
        <w:tc>
          <w:tcPr>
            <w:tcW w:w="3456" w:type="dxa"/>
            <w:tcMar>
              <w:top w:w="70" w:type="dxa"/>
              <w:left w:w="70" w:type="dxa"/>
              <w:bottom w:w="70" w:type="dxa"/>
              <w:right w:w="70" w:type="dxa"/>
            </w:tcMar>
            <w:vAlign w:val="center"/>
          </w:tcPr>
          <w:p w14:paraId="1345B9CD" w14:textId="77777777" w:rsidR="00BC6C0B" w:rsidRDefault="00000000">
            <w:pPr>
              <w:spacing w:after="0"/>
              <w:jc w:val="left"/>
            </w:pPr>
            <w:r>
              <w:rPr>
                <w:rFonts w:ascii="Arial" w:hAnsi="Arial"/>
                <w:sz w:val="16"/>
              </w:rPr>
              <w:t>Technical report, executive summary and retest note.</w:t>
            </w:r>
          </w:p>
        </w:tc>
      </w:tr>
    </w:tbl>
    <w:p w14:paraId="0EF592E6" w14:textId="77777777" w:rsidR="00BC6C0B" w:rsidRDefault="00BC6C0B">
      <w:pPr>
        <w:spacing w:after="0"/>
      </w:pPr>
    </w:p>
    <w:p w14:paraId="7E114702" w14:textId="77777777" w:rsidR="00BC6C0B" w:rsidRDefault="00000000">
      <w:pPr>
        <w:pStyle w:val="Heading1"/>
      </w:pPr>
      <w:r>
        <w:t>12. Discussion</w:t>
      </w:r>
    </w:p>
    <w:p w14:paraId="77DE2689" w14:textId="77777777" w:rsidR="00BC6C0B" w:rsidRDefault="00000000">
      <w:r>
        <w:t>The central finding of this synthesis is that ethical hacking in 2026 is best treated as a controlled assurance pipeline, not an offensive toolkit. Standards that appear to address different domains become complementary when arranged by function: CSF 2.0 provides organizational outcomes; ISO 27001/27005 provide management and risk context; SP 800-115 provides testing-process foundations; WSTG and ASVS provide application depth; ATT&amp;CK provides adversary-behaviour language; CVSS, EPSS and KEV provide different vulnerability-prioritization signals; SP 800-61 Rev. 3 connects test evidence to incident readiness; ISO 29147/30111 govern disclosure and handling; and AI-focused NIST work addresses new model and automation risks.</w:t>
      </w:r>
    </w:p>
    <w:p w14:paraId="20795E11" w14:textId="77777777" w:rsidR="00BC6C0B" w:rsidRDefault="00000000">
      <w:r>
        <w:t>This arrangement also resolves a common standards problem. “Latest” does not always mean “replacement.” SP 800-115 is old but still useful for assessment-process concepts. WSTG 4.2 is the current stable release even while development continues. ASVS 5.0.0 is stable. NIST SSDF 1.2 is still draft, so the stable baseline remains SSDF 1.1 with SP 800-218A for generative-AI development. NIST’s Cyber AI Profile and SP 1353 are emerging drafts in 2026 and should be used as informative references rather than compliance claims.</w:t>
      </w:r>
    </w:p>
    <w:p w14:paraId="6B1A753C" w14:textId="77777777" w:rsidR="00BC6C0B" w:rsidRDefault="00000000">
      <w:r>
        <w:t>AI assistance is most valuable where it reduces cognitive and documentation load while leaving authority with the assessor. This includes summarization, correlation, code explanation, standards lookup and report drafting. The risk rises sharply when the model is allowed to choose targets, expand scope, execute tools or handle sensitive evidence without policy enforcement. A security programme that gives an agent unrestricted network access because it is “for testing” defeats the very governance ethical hacking is meant to validate.</w:t>
      </w:r>
    </w:p>
    <w:p w14:paraId="71106E70" w14:textId="77777777" w:rsidR="00BC6C0B" w:rsidRDefault="00000000">
      <w:r>
        <w:t>For academia, the implication is equally important: ethical-hacking curricula should teach standards, law, reporting, vulnerability prioritization, cloud/identity security and AI control alongside classic network and web tooling. For industry, procurement and performance evaluation should focus on evidence quality, scope discipline, detection improvement and remediation outcomes rather than raw vulnerability counts or dramatic exploitation demonstrations.</w:t>
      </w:r>
    </w:p>
    <w:p w14:paraId="1E69B168" w14:textId="77777777" w:rsidR="00BC6C0B" w:rsidRDefault="00000000">
      <w:pPr>
        <w:pStyle w:val="Heading1"/>
      </w:pPr>
      <w:r>
        <w:t>13. Limitations and Update Policy</w:t>
      </w:r>
    </w:p>
    <w:p w14:paraId="57C799DA" w14:textId="77777777" w:rsidR="00BC6C0B" w:rsidRDefault="00000000">
      <w:r>
        <w:t>This article is a technical synthesis rather than an experimental benchmark, and no new primary dataset was generated. Tool examples are representative rather than exhaustive, and commercial capabilities change rapidly. Legal obligations vary by jurisdiction and contract; organizations should obtain qualified legal advice for high-risk or cross-border engagements. AI-security guidance is evolving quickly, and draft NIST publications cited here may change before finalization.</w:t>
      </w:r>
    </w:p>
    <w:p w14:paraId="1F662D71" w14:textId="77777777" w:rsidR="00BC6C0B" w:rsidRDefault="00000000">
      <w:r>
        <w:t>For continued currency, the e031 standards appendix should be reviewed at least annually and whenever a major release occurs in NIST CSF/NICE, OWASP ASVS/WSTG/Top 10, MITRE ATT&amp;CK, FIRST CVSS/EPSS methodology, ISO vulnerability standards, or relevant Nigerian law. Reports should always record the exact framework and tool version used at the time of assessment.</w:t>
      </w:r>
    </w:p>
    <w:p w14:paraId="2DEA1B73" w14:textId="77777777" w:rsidR="00BC6C0B" w:rsidRDefault="00000000">
      <w:pPr>
        <w:pStyle w:val="Heading1"/>
      </w:pPr>
      <w:r>
        <w:t>14. Conclusion</w:t>
      </w:r>
    </w:p>
    <w:p w14:paraId="092BC4A0" w14:textId="77777777" w:rsidR="00BC6C0B" w:rsidRDefault="00000000">
      <w:r>
        <w:t>Fundamental ethical-hacking practice in the AI era rests on five linked disciplines: authorization, technical depth, evidence, risk prioritization and controlled automation. Nmap, Wireshark, vulnerability scanners, web proxies, cloud/IaC analyzers, identity graph tools, code/security scanners, exploit-validation frameworks, reverse-engineering platforms, SIEM/DFIR systems and AI assistants are valuable only when they operate inside a defensible assessment process.</w:t>
      </w:r>
    </w:p>
    <w:p w14:paraId="6F22EA4A" w14:textId="77777777" w:rsidR="00BC6C0B" w:rsidRDefault="00000000">
      <w:r>
        <w:t xml:space="preserve">The professional endpoint is not exploitation. It is a security decision supported by reproducible evidence: what is exposed, why it matters, how confident the assessor is, whether it is being exploited or is likely to be exploited, </w:t>
      </w:r>
      <w:r>
        <w:lastRenderedPageBreak/>
        <w:t>what controls failed, what defenders could observe, what remediation is proportionate, and whether the fix works. AI can make that cycle faster and more analytical, but human authorization, judgment and accountability remain non-delegable.</w:t>
      </w:r>
    </w:p>
    <w:p w14:paraId="2983139E" w14:textId="77777777" w:rsidR="00BC6C0B" w:rsidRDefault="00000000">
      <w:pPr>
        <w:pStyle w:val="Heading1"/>
      </w:pPr>
      <w:r>
        <w:t>Declarations</w:t>
      </w:r>
    </w:p>
    <w:p w14:paraId="24945C42" w14:textId="77777777" w:rsidR="00BC6C0B" w:rsidRDefault="00000000">
      <w:r>
        <w:t>Ethics: Not applicable; this article reports no new human- or animal-participant research. Any practical security testing discussed is explicitly limited to purpose-built laboratories or systems for which the tester has written authorization.</w:t>
      </w:r>
    </w:p>
    <w:p w14:paraId="6AA40ADE" w14:textId="77777777" w:rsidR="00BC6C0B" w:rsidRDefault="00000000">
      <w:r>
        <w:t>Funding: The author declares that no external funding was received specifically for this article.</w:t>
      </w:r>
    </w:p>
    <w:p w14:paraId="3241DE03" w14:textId="77777777" w:rsidR="00BC6C0B" w:rsidRDefault="00000000">
      <w:r>
        <w:t>Competing interests: The author declares no competing interests.</w:t>
      </w:r>
    </w:p>
    <w:p w14:paraId="23EEDA21" w14:textId="77777777" w:rsidR="00BC6C0B" w:rsidRDefault="00000000">
      <w:r>
        <w:t>Data availability: No new primary dataset was generated. The synthesis is based on the authoritative standards, legal materials and research sources cited in the article.</w:t>
      </w:r>
    </w:p>
    <w:p w14:paraId="1D32F0F1" w14:textId="77777777" w:rsidR="00BC6C0B" w:rsidRDefault="00000000">
      <w:r>
        <w:t>Author contributions: CHIA Shiaondo Kenneth: conceptualization, standards synthesis, technical framework development, interpretation, visualization and manuscript authorship.</w:t>
      </w:r>
    </w:p>
    <w:p w14:paraId="465215EE" w14:textId="77777777" w:rsidR="00BC6C0B" w:rsidRDefault="00000000">
      <w:r>
        <w:t>AI-assisted editorial support: AI-assisted tools were used for literature discovery, language refinement, standards cross-checking, formatting and consistency checking. They were not used as authors or substitutes for professional authorization, source verification or scholarly judgement; responsibility for interpretation and final approval remains with the author and journal editor.</w:t>
      </w:r>
    </w:p>
    <w:p w14:paraId="56203722" w14:textId="77777777" w:rsidR="00BC6C0B" w:rsidRDefault="00000000">
      <w:pPr>
        <w:pStyle w:val="Heading1"/>
      </w:pPr>
      <w:r>
        <w:t>References</w:t>
      </w:r>
    </w:p>
    <w:p w14:paraId="2CEFEDDE" w14:textId="77777777" w:rsidR="00BC6C0B" w:rsidRDefault="00000000">
      <w:pPr>
        <w:pStyle w:val="References"/>
      </w:pPr>
      <w:r>
        <w:t>Autio, C., Schwartz, R., Dunietz, J., Jain, S., Stanley, M., Tabassi, E., Hall, P., &amp; Roberts, K. (2024). Artificial Intelligence Risk Management Framework: Generative Artificial Intelligence Profile (NIST AI 600-1). National Institute of Standards and Technology. https://doi.org/10.6028/NIST.AI.600-1</w:t>
      </w:r>
    </w:p>
    <w:p w14:paraId="0B852150" w14:textId="77777777" w:rsidR="00BC6C0B" w:rsidRDefault="00000000">
      <w:pPr>
        <w:pStyle w:val="References"/>
      </w:pPr>
      <w:r>
        <w:t>Booth, H., Souppaya, M., Vassilev, A., Ogata, M., Stanley, M., &amp; Scarfone, K. (2024). Secure Software Development Practices for Generative AI and Dual-Use Foundation Models: An SSDF Community Profile (NIST SP 800-218A). National Institute of Standards and Technology.</w:t>
      </w:r>
    </w:p>
    <w:p w14:paraId="0D5BAE5E" w14:textId="77777777" w:rsidR="00BC6C0B" w:rsidRDefault="00000000">
      <w:pPr>
        <w:pStyle w:val="References"/>
      </w:pPr>
      <w:r>
        <w:t>Center for Internet Security. (2024). CIS Critical Security Controls v8.1. CIS.</w:t>
      </w:r>
    </w:p>
    <w:p w14:paraId="113CF763" w14:textId="77777777" w:rsidR="00BC6C0B" w:rsidRPr="00712B67" w:rsidRDefault="00000000">
      <w:pPr>
        <w:pStyle w:val="References"/>
        <w:rPr>
          <w:lang w:val="de-DE"/>
        </w:rPr>
      </w:pPr>
      <w:r>
        <w:t xml:space="preserve">Cybersecurity and Infrastructure Security Agency. (2026). Known Exploited Vulnerabilities Catalog. </w:t>
      </w:r>
      <w:r w:rsidRPr="00712B67">
        <w:rPr>
          <w:lang w:val="de-DE"/>
        </w:rPr>
        <w:t>CISA. https://www.cisa.gov/known-exploited-vulnerabilities-catalog</w:t>
      </w:r>
    </w:p>
    <w:p w14:paraId="6AEB3D05" w14:textId="77777777" w:rsidR="00BC6C0B" w:rsidRDefault="00000000">
      <w:pPr>
        <w:pStyle w:val="References"/>
      </w:pPr>
      <w:r w:rsidRPr="00712B67">
        <w:rPr>
          <w:lang w:val="de-DE"/>
        </w:rPr>
        <w:t xml:space="preserve">Deng, G., Liu, Y., Mayoral-Vilches, V., Liu, P., Li, Y., Xu, Y., Zhang, T., Liu, Y., Pinzger, M., &amp; Rass, S. (2024). </w:t>
      </w:r>
      <w:proofErr w:type="spellStart"/>
      <w:r>
        <w:t>PentestGPT</w:t>
      </w:r>
      <w:proofErr w:type="spellEnd"/>
      <w:r>
        <w:t>: Evaluating and Harnessing Large Language Models for Automated Penetration Testing. In 33rd USENIX Security Symposium (pp. 847–864). USENIX Association.</w:t>
      </w:r>
    </w:p>
    <w:p w14:paraId="5D90E186" w14:textId="77777777" w:rsidR="00BC6C0B" w:rsidRDefault="00000000">
      <w:pPr>
        <w:pStyle w:val="References"/>
      </w:pPr>
      <w:r>
        <w:t>FIRST. (2023). Common Vulnerability Scoring System Version 4.0: Specification Document. Forum of Incident Response and Security Teams.</w:t>
      </w:r>
    </w:p>
    <w:p w14:paraId="1A28C380" w14:textId="77777777" w:rsidR="00BC6C0B" w:rsidRDefault="00000000">
      <w:pPr>
        <w:pStyle w:val="References"/>
      </w:pPr>
      <w:r>
        <w:t>FIRST. (2026). Exploit Prediction Scoring System (EPSS). Forum of Incident Response and Security Teams. https://www.first.org/epss/</w:t>
      </w:r>
    </w:p>
    <w:p w14:paraId="28E0B59B" w14:textId="77777777" w:rsidR="00BC6C0B" w:rsidRDefault="00000000">
      <w:pPr>
        <w:pStyle w:val="References"/>
      </w:pPr>
      <w:r>
        <w:t>International Organization for Standardization. (2018). ISO/IEC 29147:2018, Information technology — Security techniques — Vulnerability disclosure. ISO.</w:t>
      </w:r>
    </w:p>
    <w:p w14:paraId="4FA3C650" w14:textId="77777777" w:rsidR="00BC6C0B" w:rsidRDefault="00000000">
      <w:pPr>
        <w:pStyle w:val="References"/>
      </w:pPr>
      <w:r>
        <w:t>International Organization for Standardization. (2019). ISO/IEC 30111:2019, Information technology — Security techniques — Vulnerability handling processes. ISO.</w:t>
      </w:r>
    </w:p>
    <w:p w14:paraId="58FBBE15" w14:textId="77777777" w:rsidR="00BC6C0B" w:rsidRDefault="00000000">
      <w:pPr>
        <w:pStyle w:val="References"/>
      </w:pPr>
      <w:r>
        <w:t>International Organization for Standardization. (2022a). ISO/IEC 27001:2022, Information security, cybersecurity and privacy protection — Information security management systems — Requirements. ISO.</w:t>
      </w:r>
    </w:p>
    <w:p w14:paraId="4CB80F5C" w14:textId="77777777" w:rsidR="00BC6C0B" w:rsidRDefault="00000000">
      <w:pPr>
        <w:pStyle w:val="References"/>
      </w:pPr>
      <w:r>
        <w:t>International Organization for Standardization. (2022b). ISO/IEC 27002:2022, Information security, cybersecurity and privacy protection — Information security controls. ISO.</w:t>
      </w:r>
    </w:p>
    <w:p w14:paraId="4C320D32" w14:textId="77777777" w:rsidR="00BC6C0B" w:rsidRDefault="00000000">
      <w:pPr>
        <w:pStyle w:val="References"/>
      </w:pPr>
      <w:r>
        <w:t>International Organization for Standardization. (2022c). ISO/IEC 27005:2022, Information security, cybersecurity and privacy protection — Guidance on managing information security risks. ISO.</w:t>
      </w:r>
    </w:p>
    <w:p w14:paraId="373109A9" w14:textId="77777777" w:rsidR="00BC6C0B" w:rsidRDefault="00000000">
      <w:pPr>
        <w:pStyle w:val="References"/>
      </w:pPr>
      <w:r>
        <w:t>Jacobs, J., Romanosky, S., Edwards, B., Roytman, M., &amp; Adjerid, I. (2021). Exploit Prediction Scoring System (EPSS). Digital Threats: Research and Practice, 2(3).</w:t>
      </w:r>
    </w:p>
    <w:p w14:paraId="6F4C71B5" w14:textId="77777777" w:rsidR="00BC6C0B" w:rsidRDefault="00000000">
      <w:pPr>
        <w:pStyle w:val="References"/>
      </w:pPr>
      <w:r>
        <w:t>Megas, K., Cuthill, B., Dotter, M., Garris, M., Khemani, I., Patrick, B., Schiro, N., Snyder, J. N., &amp; Zarei, M. (2025). Cybersecurity Framework Profile for Artificial Intelligence (Cyber AI Profile): NIST Community Profile (NIST IR 8596, Initial Preliminary Draft). National Institute of Standards and Technology.</w:t>
      </w:r>
    </w:p>
    <w:p w14:paraId="62B31A5F" w14:textId="77777777" w:rsidR="00BC6C0B" w:rsidRDefault="00000000">
      <w:pPr>
        <w:pStyle w:val="References"/>
      </w:pPr>
      <w:r>
        <w:t>Megas, K., Cuthill, B., Sames, C., &amp; Snyder, J. (2026). Workshop Summary Report for “Cyber AI Profile” Hybrid Workshop #2 (NIST IR 8607). National Institute of Standards and Technology. https://doi.org/10.6028/NIST.IR.8607</w:t>
      </w:r>
    </w:p>
    <w:p w14:paraId="0C07A4D4" w14:textId="77777777" w:rsidR="00BC6C0B" w:rsidRDefault="00000000">
      <w:pPr>
        <w:pStyle w:val="References"/>
      </w:pPr>
      <w:r>
        <w:t>MITRE. (2026). MITRE ATT&amp;CK v19.2: August 2026 Agile Release. MITRE ATT&amp;CK.</w:t>
      </w:r>
    </w:p>
    <w:p w14:paraId="1C4B053A" w14:textId="77777777" w:rsidR="00BC6C0B" w:rsidRDefault="00000000">
      <w:pPr>
        <w:pStyle w:val="References"/>
      </w:pPr>
      <w:r>
        <w:t>National Institute of Standards and Technology. (2026a). NICE Framework Components, version 2.2.0. National Initiative for Cybersecurity Education.</w:t>
      </w:r>
    </w:p>
    <w:p w14:paraId="05143BFE" w14:textId="77777777" w:rsidR="00BC6C0B" w:rsidRDefault="00000000">
      <w:pPr>
        <w:pStyle w:val="References"/>
      </w:pPr>
      <w:r>
        <w:t>National Institute of Standards and Technology. (2026b). NIST Cybersecurity Framework 2.0: Quick-Start Guide for Using Artificial Intelligence (AI) for CSF Analysis and Reporting (NIST SP 1353, Initial Public Draft).</w:t>
      </w:r>
    </w:p>
    <w:p w14:paraId="744E4268" w14:textId="77777777" w:rsidR="00BC6C0B" w:rsidRDefault="00000000">
      <w:pPr>
        <w:pStyle w:val="References"/>
      </w:pPr>
      <w:r>
        <w:t>Nelson, A., Rekhi, S., Souppaya, M., &amp; Scarfone, K. (2025). Incident Response Recommendations and Considerations for Cybersecurity Risk Management: A CSF 2.0 Community Profile (NIST SP 800-61 Rev. 3). National Institute of Standards and Technology. https://doi.org/10.6028/NIST.SP.800-61r3</w:t>
      </w:r>
    </w:p>
    <w:p w14:paraId="79568664" w14:textId="77777777" w:rsidR="00BC6C0B" w:rsidRDefault="00000000">
      <w:pPr>
        <w:pStyle w:val="References"/>
      </w:pPr>
      <w:r>
        <w:t>Nigeria Data Protection Commission. (2023). Nigeria Data Protection Act, 2023. Federal Republic of Nigeria.</w:t>
      </w:r>
    </w:p>
    <w:p w14:paraId="076E98DA" w14:textId="77777777" w:rsidR="00BC6C0B" w:rsidRDefault="00000000">
      <w:pPr>
        <w:pStyle w:val="References"/>
      </w:pPr>
      <w:r>
        <w:lastRenderedPageBreak/>
        <w:t>Nigeria Computer Emergency Response Team. (2024). Cybercrimes (Prohibition, Prevention, etc.) (Amendment) Act, 2024. Federal Republic of Nigeria.</w:t>
      </w:r>
    </w:p>
    <w:p w14:paraId="38EA93AD" w14:textId="77777777" w:rsidR="00BC6C0B" w:rsidRDefault="00000000">
      <w:pPr>
        <w:pStyle w:val="References"/>
      </w:pPr>
      <w:r>
        <w:t>OWASP Foundation. (2025a). OWASP Application Security Verification Standard (ASVS) 5.0.0.</w:t>
      </w:r>
    </w:p>
    <w:p w14:paraId="1A301B55" w14:textId="77777777" w:rsidR="00BC6C0B" w:rsidRDefault="00000000">
      <w:pPr>
        <w:pStyle w:val="References"/>
      </w:pPr>
      <w:r>
        <w:t>OWASP Foundation. (2025b). OWASP Top 10:2025.</w:t>
      </w:r>
    </w:p>
    <w:p w14:paraId="42954A4B" w14:textId="77777777" w:rsidR="00BC6C0B" w:rsidRDefault="00000000">
      <w:pPr>
        <w:pStyle w:val="References"/>
      </w:pPr>
      <w:r>
        <w:t>OWASP Foundation. (2026). OWASP Web Security Testing Guide (WSTG), version 4.2 (current stable release).</w:t>
      </w:r>
    </w:p>
    <w:p w14:paraId="745004D9" w14:textId="77777777" w:rsidR="00BC6C0B" w:rsidRDefault="00000000">
      <w:pPr>
        <w:pStyle w:val="References"/>
      </w:pPr>
      <w:r>
        <w:t>Pascoe, C., Quinn, S., &amp; Scarfone, K. (2024). The NIST Cybersecurity Framework (CSF) 2.0 (NIST CSWP 29). National Institute of Standards and Technology. https://doi.org/10.6028/NIST.CSWP.29</w:t>
      </w:r>
    </w:p>
    <w:p w14:paraId="3CD6DE5C" w14:textId="77777777" w:rsidR="00BC6C0B" w:rsidRDefault="00000000">
      <w:pPr>
        <w:pStyle w:val="References"/>
      </w:pPr>
      <w:r>
        <w:t>Scarfone, K., Souppaya, M., Cody, A., &amp; Orebaugh, A. (2008). Technical Guide to Information Security Testing and Assessment (NIST SP 800-115). National Institute of Standards and Technology. https://doi.org/10.6028/NIST.SP.800-115</w:t>
      </w:r>
    </w:p>
    <w:p w14:paraId="1A1D4E0F" w14:textId="77777777" w:rsidR="00BC6C0B" w:rsidRDefault="00000000">
      <w:pPr>
        <w:pStyle w:val="References"/>
      </w:pPr>
      <w:r>
        <w:t>Souppaya, M., Scarfone, K., &amp; Dodson, D. (2022). Secure Software Development Framework (SSDF) Version 1.1: Recommendations for Mitigating the Risk of Software Vulnerabilities (NIST SP 800-218). National Institute of Standards and Technology. https://doi.org/10.6028/NIST.SP.800-218</w:t>
      </w:r>
    </w:p>
    <w:p w14:paraId="714858BB" w14:textId="77777777" w:rsidR="00BC6C0B" w:rsidRDefault="00000000">
      <w:pPr>
        <w:spacing w:before="100"/>
      </w:pPr>
      <w:r>
        <w:rPr>
          <w:b/>
        </w:rPr>
        <w:t xml:space="preserve">Suggested citation: </w:t>
      </w:r>
      <w:r>
        <w:t>Chia, S. K. (2026). Fundamental Tools for Ethical Hacking in the AI Era: Ethical Procedures, Current Standards, and a Defensible Technical Workflow for Authorized Cybersecurity Assessment. CHIATECH JOURNAL · SETEHEM, 1(1), e031.</w:t>
      </w:r>
    </w:p>
    <w:p w14:paraId="7F81027A" w14:textId="77777777" w:rsidR="00BC6C0B" w:rsidRDefault="00000000">
      <w:pPr>
        <w:jc w:val="center"/>
      </w:pPr>
      <w:r>
        <w:rPr>
          <w:color w:val="5F6B7A"/>
          <w:sz w:val="17"/>
        </w:rPr>
        <w:t>© 2026 CHIA Shiaondo Kenneth. Published by CHIATECH JOURNAL · SETEHEM under the Creative Commons Attribution 4.0 International (CC BY 4.0) licence.</w:t>
      </w:r>
    </w:p>
    <w:sectPr w:rsidR="00BC6C0B" w:rsidSect="00034616">
      <w:headerReference w:type="default" r:id="rId11"/>
      <w:footerReference w:type="default" r:id="rId12"/>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2645" w14:textId="77777777" w:rsidR="00577A79" w:rsidRDefault="00577A79">
      <w:pPr>
        <w:spacing w:after="0"/>
      </w:pPr>
      <w:r>
        <w:separator/>
      </w:r>
    </w:p>
  </w:endnote>
  <w:endnote w:type="continuationSeparator" w:id="0">
    <w:p w14:paraId="1C0F4DEF" w14:textId="77777777" w:rsidR="00577A79" w:rsidRDefault="00577A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1207" w14:textId="77777777" w:rsidR="00AC2C55" w:rsidRDefault="00000000">
    <w:pPr>
      <w:spacing w:before="40" w:after="0"/>
      <w:jc w:val="center"/>
    </w:pPr>
    <w:r>
      <w:rPr>
        <w:rFonts w:ascii="Cambria" w:hAnsi="Cambria"/>
        <w:color w:val="52616B"/>
        <w:sz w:val="16"/>
      </w:rPr>
      <w:t xml:space="preserve">© 2026 CHIA TECH SOLUTIONS AND RESOURCES </w:t>
    </w:r>
    <w:proofErr w:type="gramStart"/>
    <w:r>
      <w:rPr>
        <w:rFonts w:ascii="Cambria" w:hAnsi="Cambria"/>
        <w:color w:val="52616B"/>
        <w:sz w:val="16"/>
      </w:rPr>
      <w:t>LIMITED  ·</w:t>
    </w:r>
    <w:proofErr w:type="gramEnd"/>
    <w:r>
      <w:rPr>
        <w:rFonts w:ascii="Cambria" w:hAnsi="Cambria"/>
        <w:color w:val="52616B"/>
        <w:sz w:val="16"/>
      </w:rPr>
      <w:t xml:space="preserve">  </w:t>
    </w:r>
    <w:proofErr w:type="gramStart"/>
    <w:r>
      <w:rPr>
        <w:rFonts w:ascii="Cambria" w:hAnsi="Cambria"/>
        <w:color w:val="52616B"/>
        <w:sz w:val="16"/>
      </w:rPr>
      <w:t>chiatechlibrary@gmail.com  ·</w:t>
    </w:r>
    <w:proofErr w:type="gramEnd"/>
    <w:r>
      <w:rPr>
        <w:rFonts w:ascii="Cambria" w:hAnsi="Cambria"/>
        <w:color w:val="52616B"/>
        <w:sz w:val="16"/>
      </w:rPr>
      <w:t xml:space="preserve">  Page </w:t>
    </w:r>
    <w:r>
      <w:rPr>
        <w:rFonts w:ascii="Cambria" w:hAnsi="Cambria"/>
        <w:color w:val="52616B"/>
        <w:sz w:val="16"/>
      </w:rPr>
      <w:fldChar w:fldCharType="begin"/>
    </w:r>
    <w:r>
      <w:rPr>
        <w:rFonts w:ascii="Cambria" w:hAnsi="Cambria"/>
        <w:color w:val="52616B"/>
        <w:sz w:val="16"/>
      </w:rPr>
      <w:instrText xml:space="preserve"> PAGE </w:instrText>
    </w:r>
    <w:r>
      <w:rPr>
        <w:rFonts w:ascii="Cambria" w:hAnsi="Cambria"/>
        <w:color w:val="52616B"/>
        <w:sz w:val="16"/>
      </w:rPr>
      <w:fldChar w:fldCharType="separate"/>
    </w:r>
    <w:r>
      <w:rPr>
        <w:rFonts w:ascii="Cambria" w:hAnsi="Cambria"/>
        <w:color w:val="52616B"/>
        <w:sz w:val="16"/>
      </w:rPr>
      <w:t>1</w:t>
    </w:r>
    <w:r>
      <w:rPr>
        <w:rFonts w:ascii="Cambria" w:hAnsi="Cambria"/>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A05B" w14:textId="77777777" w:rsidR="00577A79" w:rsidRDefault="00577A79">
      <w:pPr>
        <w:spacing w:after="0"/>
      </w:pPr>
      <w:r>
        <w:separator/>
      </w:r>
    </w:p>
  </w:footnote>
  <w:footnote w:type="continuationSeparator" w:id="0">
    <w:p w14:paraId="775C8331" w14:textId="77777777" w:rsidR="00577A79" w:rsidRDefault="00577A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AC2C55" w14:paraId="5C533F69" w14:textId="77777777">
      <w:trPr>
        <w:tblHeader/>
        <w:jc w:val="center"/>
      </w:trPr>
      <w:tc>
        <w:tcPr>
          <w:tcW w:w="3360" w:type="dxa"/>
        </w:tcPr>
        <w:p w14:paraId="0A03B6E5" w14:textId="77777777" w:rsidR="00AC2C55" w:rsidRDefault="00000000">
          <w:pPr>
            <w:jc w:val="left"/>
          </w:pPr>
          <w:r>
            <w:rPr>
              <w:noProof/>
            </w:rPr>
            <w:drawing>
              <wp:inline distT="0" distB="0" distL="0" distR="0" wp14:anchorId="06D2CC4D" wp14:editId="5FF4515B">
                <wp:extent cx="365760" cy="365760"/>
                <wp:effectExtent l="0" t="0" r="0" b="0"/>
                <wp:docPr id="865772835" name="Picture 865772835"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B8C37B9" w14:textId="77777777" w:rsidR="00AC2C55"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5D428773" w14:textId="77777777" w:rsidR="00AC2C55" w:rsidRDefault="00000000">
          <w:pPr>
            <w:jc w:val="right"/>
          </w:pPr>
          <w:r>
            <w:rPr>
              <w:noProof/>
            </w:rPr>
            <w:drawing>
              <wp:inline distT="0" distB="0" distL="0" distR="0" wp14:anchorId="3AE1F06B" wp14:editId="08D102FB">
                <wp:extent cx="320040" cy="379781"/>
                <wp:effectExtent l="0" t="0" r="0" b="0"/>
                <wp:docPr id="2014426564" name="Picture 2014426564"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00B489EC" w14:textId="77777777" w:rsidR="00BC6C0B"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431578">
    <w:abstractNumId w:val="8"/>
  </w:num>
  <w:num w:numId="2" w16cid:durableId="708725776">
    <w:abstractNumId w:val="6"/>
  </w:num>
  <w:num w:numId="3" w16cid:durableId="447244308">
    <w:abstractNumId w:val="5"/>
  </w:num>
  <w:num w:numId="4" w16cid:durableId="1666394145">
    <w:abstractNumId w:val="4"/>
  </w:num>
  <w:num w:numId="5" w16cid:durableId="349376618">
    <w:abstractNumId w:val="7"/>
  </w:num>
  <w:num w:numId="6" w16cid:durableId="261381943">
    <w:abstractNumId w:val="3"/>
  </w:num>
  <w:num w:numId="7" w16cid:durableId="93022160">
    <w:abstractNumId w:val="2"/>
  </w:num>
  <w:num w:numId="8" w16cid:durableId="42559959">
    <w:abstractNumId w:val="1"/>
  </w:num>
  <w:num w:numId="9" w16cid:durableId="113737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318CC"/>
    <w:rsid w:val="0029639D"/>
    <w:rsid w:val="00326F90"/>
    <w:rsid w:val="00577A79"/>
    <w:rsid w:val="00712B67"/>
    <w:rsid w:val="00715D41"/>
    <w:rsid w:val="00803CA5"/>
    <w:rsid w:val="0086220F"/>
    <w:rsid w:val="00983F68"/>
    <w:rsid w:val="00AA1D8D"/>
    <w:rsid w:val="00AC2C55"/>
    <w:rsid w:val="00B47730"/>
    <w:rsid w:val="00BC6C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59F75"/>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jc w:val="both"/>
    </w:pPr>
    <w:rPr>
      <w:rFonts w:ascii="Georgia" w:eastAsia="Cambria" w:hAnsi="Georgia"/>
      <w:color w:val="14213D"/>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A4568"/>
      <w:sz w:val="27"/>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A4568"/>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A45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73D5D"/>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876"/>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rFonts w:ascii="Cambria" w:hAnsi="Cambria"/>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50" w:line="240" w:lineRule="auto"/>
      <w:ind w:left="259" w:hanging="259"/>
    </w:pPr>
    <w:rPr>
      <w:rFonts w:ascii="Georgia" w:hAnsi="Georgia"/>
      <w:color w:val="1F293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8186</Words>
  <Characters>46661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 Tools for Ethical Hacking in the AI Era</dc:title>
  <dc:subject>CHIATECH JOURNAL SETEHEM e031 replacement technical review on ethical hacking, AI security, standards, tools and authorized testing.</dc:subject>
  <dc:creator>CHIA Shiaondo Kenneth</dc:creator>
  <cp:keywords>ethical hacking; cybersecurity; penetration testing; AI security; NIST; OWASP; MITRE ATT&amp;CK; e031</cp:keywords>
  <dc:description>Production copy. DOI pending registration; ISSN pending assignment. Conceptual diagrams redrawn as editable pen-and-ink SVG/PNG assets where identified.</dc:description>
  <cp:lastModifiedBy>CHIA TECH</cp:lastModifiedBy>
  <cp:revision>3</cp:revision>
  <dcterms:created xsi:type="dcterms:W3CDTF">2026-09-09T14:55:00Z</dcterms:created>
  <dcterms:modified xsi:type="dcterms:W3CDTF">2026-09-09T14:58:00Z</dcterms:modified>
  <cp:category/>
</cp:coreProperties>
</file>