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40 of 51 families, lower energy is associated with higher mortality risk in at least half of basins. Among deceased patients in single-basin diseases, first and last basin assignments matched in a median of 97%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40 of 51 disease families, this criterion was satisfied for mortality. An analogous analysis using disease-specific hospitalization (primary diagnosis matching the index disease’s ICD-10 codes; see Methods) as the endpoint yielded a consistent direction in 42 of 51 families (Figure S1).</w:t>
      </w:r>
    </w:p>
    <w:p>
      <w:pPr>
        <w:pStyle w:val="BodyText"/>
      </w:pPr>
      <w:r>
        <w:t xml:space="preserve">The eleven disease families that did not satisfy the mortality criterion were anxiety (2 basins, 0/2 HR &lt; 1), autoimmune/connective tissue disease (1 basin, 0/1), benign prostatic hyperplasia (3 basins, 0/3), COPD (1 basin, 0/1), dyslipidemia (2 basins, 0/2), liver cancer (3 basins, 1/3), rheumatoid arthritis (2 basins, 0/2), sepsis (3 basins, 0/3), thyroid disorder (4 basins, 1/4), tuberculosis (1 basin, 0/1), and urinary tract infection (3 basins, 1/3). These diseases include a mix of non-terminal chronic conditions with low mortality rates (anxiety, dyslipidemia, benign prostatic hyperplasia) and diseases with acute presentation or high lethality (sepsis, liver cancer).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inter-basin transition rate per step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(14 families): Single basin, energy associated with mortality in the expected direction. These diseases — including stroke, ischemic heart disease, colorectal cancer, and lung cancer — have a single stable comorbidity configuration with a clear severity gradient within it.</w:t>
      </w:r>
    </w:p>
    <w:p>
      <w:pPr>
        <w:pStyle w:val="BodyText"/>
      </w:pPr>
      <w:r>
        <w:rPr>
          <w:b/>
          <w:bCs/>
        </w:rPr>
        <w:t xml:space="preserve">Reversed</w:t>
      </w:r>
      <w:r>
        <w:t xml:space="preserve"> </w:t>
      </w:r>
      <w:r>
        <w:t xml:space="preserve">(3 families): Single basin, reversed energy–mortality association. COPD, autoimmune/connective tissue disease, and tuberculosis have a single basin in which lower energy is not associated with worse outcomes.</w:t>
      </w:r>
    </w:p>
    <w:p>
      <w:pPr>
        <w:pStyle w:val="BodyText"/>
      </w:pPr>
      <w:r>
        <w:rPr>
          <w:b/>
          <w:bCs/>
        </w:rPr>
        <w:t xml:space="preserve">Symmetric</w:t>
      </w:r>
      <w:r>
        <w:t xml:space="preserve"> </w:t>
      </w:r>
      <w:r>
        <w:t xml:space="preserve">(7 families): Multiple basins with expected energy–mortality direction and low transition asymmetry (&lt;0.3). Dementia, CKD, hypertension, depression, and prostate cancer are examples: basins exchange patients at roughly equal rates.</w:t>
      </w:r>
    </w:p>
    <w:p>
      <w:pPr>
        <w:pStyle w:val="BodyText"/>
      </w:pPr>
      <w:r>
        <w:rPr>
          <w:b/>
          <w:bCs/>
        </w:rPr>
        <w:t xml:space="preserve">Convergent</w:t>
      </w:r>
      <w:r>
        <w:t xml:space="preserve"> </w:t>
      </w:r>
      <w:r>
        <w:t xml:space="preserve">(11 families): Multiple basins with expected energy–mortality direction and moderate transition asymmetry (0.3–0.6). Atrial fibrillation, heart failure, Parkinson disease, and schizophrenia exhibit net directional flow between basins.</w:t>
      </w:r>
    </w:p>
    <w:p>
      <w:pPr>
        <w:pStyle w:val="BodyText"/>
      </w:pPr>
      <w:r>
        <w:rPr>
          <w:b/>
          <w:bCs/>
        </w:rPr>
        <w:t xml:space="preserve">Progressive</w:t>
      </w:r>
      <w:r>
        <w:t xml:space="preserve"> </w:t>
      </w:r>
      <w:r>
        <w:t xml:space="preserve">(8 families): Multiple basins with expected energy–mortality direction and high asymmetry (&gt;0.6). Anemia, malignancy, diabetes, and hematologic malignancy typify this pattern: inter-basin transitions are strongly directional when they occur.</w:t>
      </w:r>
    </w:p>
    <w:p>
      <w:pPr>
        <w:pStyle w:val="BodyText"/>
      </w:pPr>
      <w:r>
        <w:rPr>
          <w:b/>
          <w:bCs/>
        </w:rPr>
        <w:t xml:space="preserve">Structured reversed</w:t>
      </w:r>
      <w:r>
        <w:t xml:space="preserve"> </w:t>
      </w:r>
      <w:r>
        <w:t xml:space="preserve">(8 families): Multiple basins, reversed energy–mortality association. Anxiety, benign prostatic hyperplasia, dyslipidemia, liver cancer, rheumatoid arthritis, sepsis, thyroid disorder, and urinary tract infection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0.25, near the Symmetric/Convergent boundary; inflammatory bowel disease and osteoporosis have asymmetry near 0.6,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Although only 1 of 4 basins satisfied the expected energy–mortality direction (Structured reversed classification),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Basin 3 had a death rate of 15.2% and Basin 2 had a death rate of 9.0% (Figure 6b). The energy–mortality association was in the expected direction only in Basin 3 (HR = 0.934); the other three basins showed reversed associations.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5311224983501ac4856efeaa990945eb2156362"/>
    <w:p>
      <w:pPr>
        <w:pStyle w:val="Heading3"/>
      </w:pPr>
      <w:r>
        <w:t xml:space="preserve">2.7 Dementia: Symmetric pattern with divergent mortality between basins</w:t>
      </w:r>
    </w:p>
    <w:p>
      <w:pPr>
        <w:pStyle w:val="FirstParagraph"/>
      </w:pPr>
      <w:r>
        <w:t xml:space="preserve">The dementia cohort (n = 933,285; ICD-10 F00–F03, G30) yielded two basins with a Symmetric transition pattern: Basin 1→2 transitions occurred at 5.6% per step and Basin 2→1 at 7.3% per step among deceased patients (asymmetry = 0.13), indicating near-equal exchange (Figure 7; Figure 8a).</w:t>
      </w:r>
    </w:p>
    <w:p>
      <w:pPr>
        <w:pStyle w:val="BodyText"/>
      </w:pPr>
      <w:r>
        <w:t xml:space="preserve">Among patients with death flag data available (shibou_flg_riyouka = 1; n = 480,102; 51.4% of the full cohort), the two basins showed sharply different mortality: Basin 1 (n = 243,941) had a death rate of 38.7%, compared with 13.2% in Basin 2 (n = 233,494) (Figure 7a, left panel). The energy–mortality association held in Basin 1 (HR = 0.780, p &lt; 0.001) but was reversed in Basin 2 (HR = 1.064,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may reflect the different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reversed energy direction in Basin 2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21.5%, whereas the probability of Basin 1 to Basin 3 was 0.3% — a ratio of approximately 72:1 in conditional transition probabilities. However, because Basin 1 is much larger, the absolute numbers of transitioning patients were comparable: 4,885 (Basin 3→1) versus 5,855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(Structured reversed, Figure 8b), and anemia (Progressive, Figure 8c). In dementia, the two basins exchange patients at near-equal rates (5.6% vs. 7.3%). In thyroid disorder, moderate asymmetry is apparent across the four basins. In anemia, the conditional probability asymmetry is extreme (~72:1) but the absolute transition counts are comparable.</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(n = 152,290), the single basin had a reversed energy–mortality association (HR = 1.035; 95% CI 1.024–1.046),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(5.6% vs. 7.3% per step) to the highly asymmetric conditional transition probabilities of anemia’s Progressive pattern (~72:1 ratio).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40 of 51 families for mortality and 42 of 51 for hospitalization, suggesting that the energy–outcome direction holds in a majority but not all disease families. The eleven families failing the mortality criterion include non-terminal chronic conditions where energy may reflect healthcare utilization rather than mortality risk (anxiety, dyslipidemia, benign prostatic hyperplasia, COPD, rheumatoid arthritis, autoimmune/connective tissue disease, urinary tract infection, thyroid disorder) and diseases with acute presentation or high lethality (sepsis, liver cancer, tuberculosis). The presence of non-terminal chronic diseases among the failures suggests that ELA’s ability to construct severity-aligned landscapes depends not only on observation density but also on whether mortality is a primary outcome for the disease family.</w:t>
      </w:r>
    </w:p>
    <w:p>
      <w:pPr>
        <w:pStyle w:val="BodyText"/>
      </w:pPr>
      <w:r>
        <w:rPr>
          <w:b/>
          <w:bCs/>
        </w:rPr>
        <w:t xml:space="preserve">Mortality divergence between basins.</w:t>
      </w:r>
      <w:r>
        <w:t xml:space="preserve"> </w:t>
      </w:r>
      <w:r>
        <w:t xml:space="preserve">The dementia case study (Figure 7) illustrates that despite Symmetric inter-basin exchange (5.6% vs. 7.3% per step), the two basins differ sharply in mortality (Basin 1: 38.7% vs. Basin 2: 13.2% among death-flag-available patients). The reversed energy–mortality direction in Basin 2 (HR = 1.064)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Empirically, observable_end_ym for deceased patients is distributed across years rather than clustered at the dataset end, suggesting it approximates the month of death, but this assumption has not been independently verified. Eleventh, the observation windows used for state assignment are 6-month claim periods that can extend beyond observable_end_ym for some patients, meaning that the representative state for a deceased patient may incorporate claims filed after death or near the end of life. This mismatch affects state assignment but not Cox survival time, which uses observable_end_ym directly.</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This restriction excludes approximately 50–60% of patients per disease family,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40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40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88%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Basin 3 has the highest death rate (15.2%) while Basin 1 (8.7%) and Basin 2 (9.0%) have the lowest. Only Basin 3 shows the expected energy–mortality direction (HR = 0.934); the other three basins are reversed.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18f923736976a1f665e46f48f6de23b3e37b34d"/>
    <w:p>
      <w:pPr>
        <w:pStyle w:val="Heading3"/>
      </w:pPr>
      <w:r>
        <w:t xml:space="preserve">Figure 7. Dementia — divergent mortality and hospitalization between two basins (Symmetric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480,102), stratified by basin. Basin 1 (n = 243,941) had a death rate of 38.7%, compared with 13.2% in Basin 2 (n = 233,494). The energy–mortality association held in Basin 1 (HR = 0.780) but was reversed in Basin 2 (HR = 1.064). Basin 1 (mean age 83.0) is associated with constipation, xerosis cutis, dermatitis, and heart failure codes. Basin 2 (mean age 80.8) is associated with hypertension, diabetes, and hyperlipidemia codes. Transition rates between basins among deceased patients are near-symmetric (5.6% vs. 7.3% per step).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5.6%, Basin 2→1 = 7.3%, near-symmetric exchange. (b) Thyroid disorder (Structured reversed): 4×4 matrix with moderate asymmetry across basins. (c) Anemia (Progressive): Basin 3→1 = 21.5% vs. Basin 1→3 = 0.3%, approximately a 72:1 ratio in conditional transition probabilities. The absolute transition counts are comparable (4,885 vs. 5,855)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(n = 152,290), Cox analysis yields HR = 1.035 (95% CI: 1.024–1.046),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BPH, Delirium, Diabetes, Epilepsy, Heart failure,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AF, AKI, Anxiety, Asthma, CKD, Dementia, Depression, Dyslipidemia, HTN, Parkinson, Prostate ca.</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Exp = Expected direction (HR &lt; 1 in ≥ half of basins; directional consistency, not predictive performance); Rev = Reversed; Rate = inter-basin transition rate per step;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2026-10-27T00:05:06Z</dcterms:created>
  <dcterms:modified xsi:type="dcterms:W3CDTF">2026-10-27T00:05:06Z</dcterms:modified>
</cp:coreProperties>
</file>

<file path=docProps/custom.xml><?xml version="1.0" encoding="utf-8"?>
<Properties xmlns="http://schemas.openxmlformats.org/officeDocument/2006/custom-properties" xmlns:vt="http://schemas.openxmlformats.org/officeDocument/2006/docPropsVTypes"/>
</file>